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left"/>
        <w:rPr>
          <w:rFonts w:hint="eastAsia" w:ascii="黑体" w:hAnsi="黑体" w:eastAsia="黑体" w:cs="方正小标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方正小标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方正小标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bookmarkStart w:id="1" w:name="_GoBack"/>
      <w:bookmarkEnd w:id="1"/>
    </w:p>
    <w:p>
      <w:pPr>
        <w:autoSpaceDE w:val="0"/>
        <w:autoSpaceDN w:val="0"/>
        <w:adjustRightInd w:val="0"/>
        <w:jc w:val="left"/>
        <w:rPr>
          <w:rFonts w:ascii="黑体" w:hAnsi="黑体" w:eastAsia="黑体" w:cs="方正小标宋简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Hlk509236691"/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中央企业数据</w:t>
      </w:r>
      <w:bookmarkEnd w:id="0"/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资产现状调研问卷</w:t>
      </w:r>
    </w:p>
    <w:p>
      <w:pPr>
        <w:autoSpaceDE w:val="0"/>
        <w:autoSpaceDN w:val="0"/>
        <w:adjustRightInd w:val="0"/>
        <w:jc w:val="center"/>
        <w:rPr>
          <w:rFonts w:ascii="微软雅黑" w:hAnsi="微软雅黑" w:eastAsia="微软雅黑" w:cs="Times New Roman"/>
          <w:b/>
          <w:bCs/>
          <w:color w:val="000000" w:themeColor="text1"/>
          <w:kern w:val="0"/>
          <w:sz w:val="48"/>
          <w:szCs w:val="48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jc w:val="center"/>
        <w:rPr>
          <w:rFonts w:ascii="微软雅黑" w:hAnsi="微软雅黑" w:eastAsia="微软雅黑" w:cs="Times New Roman"/>
          <w:b/>
          <w:bCs/>
          <w:color w:val="000000" w:themeColor="text1"/>
          <w:kern w:val="0"/>
          <w:sz w:val="48"/>
          <w:szCs w:val="48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jc w:val="center"/>
        <w:rPr>
          <w:rFonts w:ascii="微软雅黑" w:hAnsi="微软雅黑" w:eastAsia="微软雅黑" w:cs="Times New Roman"/>
          <w:b/>
          <w:bCs/>
          <w:color w:val="000000" w:themeColor="text1"/>
          <w:kern w:val="0"/>
          <w:sz w:val="48"/>
          <w:szCs w:val="48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jc w:val="center"/>
        <w:rPr>
          <w:rFonts w:ascii="微软雅黑" w:hAnsi="微软雅黑" w:eastAsia="微软雅黑" w:cs="Times New Roman"/>
          <w:b/>
          <w:bCs/>
          <w:color w:val="000000" w:themeColor="text1"/>
          <w:kern w:val="0"/>
          <w:sz w:val="48"/>
          <w:szCs w:val="48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jc w:val="center"/>
        <w:rPr>
          <w:rFonts w:ascii="微软雅黑" w:hAnsi="微软雅黑" w:eastAsia="微软雅黑" w:cs="Times New Roman"/>
          <w:b/>
          <w:bCs/>
          <w:color w:val="000000" w:themeColor="text1"/>
          <w:kern w:val="0"/>
          <w:sz w:val="48"/>
          <w:szCs w:val="48"/>
          <w14:textFill>
            <w14:solidFill>
              <w14:schemeClr w14:val="tx1"/>
            </w14:solidFill>
          </w14:textFill>
        </w:rPr>
      </w:pPr>
    </w:p>
    <w:tbl>
      <w:tblPr>
        <w:tblStyle w:val="16"/>
        <w:tblW w:w="808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41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956" w:hRule="atLeast"/>
          <w:jc w:val="center"/>
        </w:trPr>
        <w:tc>
          <w:tcPr>
            <w:tcW w:w="8082" w:type="dxa"/>
            <w:gridSpan w:val="2"/>
          </w:tcPr>
          <w:p>
            <w:pPr>
              <w:widowControl/>
              <w:jc w:val="left"/>
              <w:rPr>
                <w:rFonts w:ascii="黑体" w:hAnsi="黑体" w:eastAsia="黑体" w:cs="Times New Roman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中央</w:t>
            </w:r>
            <w:r>
              <w:rPr>
                <w:rFonts w:ascii="黑体" w:hAnsi="黑体" w:eastAsia="黑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企业名称（公章）</w:t>
            </w:r>
            <w:r>
              <w:rPr>
                <w:rFonts w:hint="eastAsia" w:ascii="黑体" w:hAnsi="黑体" w:eastAsia="黑体" w:cs="Times New Roman"/>
                <w:color w:val="000000" w:themeColor="text1"/>
                <w:kern w:val="0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3969" w:type="dxa"/>
          </w:tcPr>
          <w:p>
            <w:pPr>
              <w:widowControl/>
              <w:jc w:val="left"/>
              <w:rPr>
                <w:rFonts w:ascii="黑体" w:hAnsi="黑体" w:eastAsia="黑体" w:cs="Times New Roman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问卷</w:t>
            </w:r>
            <w:r>
              <w:rPr>
                <w:rFonts w:ascii="黑体" w:hAnsi="黑体" w:eastAsia="黑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联系人</w:t>
            </w:r>
            <w:r>
              <w:rPr>
                <w:rFonts w:hint="eastAsia" w:ascii="黑体" w:hAnsi="黑体" w:eastAsia="黑体" w:cs="Times New Roman"/>
                <w:color w:val="000000" w:themeColor="text1"/>
                <w:kern w:val="0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</w:t>
            </w:r>
          </w:p>
        </w:tc>
        <w:tc>
          <w:tcPr>
            <w:tcW w:w="411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hAnsi="黑体" w:eastAsia="黑体" w:cs="Times New Roman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所在部门及职务</w:t>
            </w:r>
            <w:r>
              <w:rPr>
                <w:rFonts w:hint="eastAsia" w:ascii="黑体" w:hAnsi="黑体" w:eastAsia="黑体" w:cs="Times New Roman"/>
                <w:color w:val="000000" w:themeColor="text1"/>
                <w:kern w:val="0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3969" w:type="dxa"/>
          </w:tcPr>
          <w:p>
            <w:pPr>
              <w:widowControl/>
              <w:jc w:val="left"/>
              <w:rPr>
                <w:rFonts w:ascii="黑体" w:hAnsi="黑体" w:eastAsia="黑体" w:cs="Times New Roman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电话</w:t>
            </w:r>
            <w:r>
              <w:rPr>
                <w:rFonts w:hint="eastAsia" w:ascii="黑体" w:hAnsi="黑体" w:eastAsia="黑体" w:cs="Times New Roman"/>
                <w:color w:val="000000" w:themeColor="text1"/>
                <w:kern w:val="0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</w:t>
            </w:r>
          </w:p>
        </w:tc>
        <w:tc>
          <w:tcPr>
            <w:tcW w:w="411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hAnsi="黑体" w:eastAsia="黑体" w:cs="Times New Roman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手机</w:t>
            </w:r>
            <w:r>
              <w:rPr>
                <w:rFonts w:hint="eastAsia" w:ascii="黑体" w:hAnsi="黑体" w:eastAsia="黑体" w:cs="Times New Roman"/>
                <w:color w:val="000000" w:themeColor="text1"/>
                <w:kern w:val="0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9" w:type="dxa"/>
          </w:tcPr>
          <w:p>
            <w:pPr>
              <w:widowControl/>
              <w:jc w:val="left"/>
              <w:rPr>
                <w:rFonts w:ascii="黑体" w:hAnsi="黑体" w:eastAsia="黑体" w:cs="Times New Roman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电子邮件</w:t>
            </w:r>
            <w:r>
              <w:rPr>
                <w:rFonts w:hint="eastAsia" w:ascii="黑体" w:hAnsi="黑体" w:eastAsia="黑体" w:cs="Times New Roman"/>
                <w:color w:val="000000" w:themeColor="text1"/>
                <w:kern w:val="0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</w:t>
            </w:r>
          </w:p>
        </w:tc>
        <w:tc>
          <w:tcPr>
            <w:tcW w:w="411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hAnsi="黑体" w:eastAsia="黑体" w:cs="Times New Roman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填写</w:t>
            </w:r>
            <w:r>
              <w:rPr>
                <w:rFonts w:ascii="黑体" w:hAnsi="黑体" w:eastAsia="黑体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时间</w:t>
            </w:r>
            <w:r>
              <w:rPr>
                <w:rFonts w:hint="eastAsia" w:ascii="黑体" w:hAnsi="黑体" w:eastAsia="黑体" w:cs="Times New Roman"/>
                <w:color w:val="000000" w:themeColor="text1"/>
                <w:kern w:val="0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</w:t>
            </w:r>
          </w:p>
        </w:tc>
      </w:tr>
    </w:tbl>
    <w:p>
      <w:pPr>
        <w:widowControl/>
        <w:jc w:val="left"/>
        <w:rPr>
          <w:rFonts w:ascii="Times New Roman" w:cs="Times New Roman" w:hAnsiTheme="minor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cs="Times New Roman" w:hAnsiTheme="minor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jc w:val="left"/>
        <w:rPr>
          <w:rFonts w:ascii="Times New Roman" w:cs="Times New Roman" w:hAnsiTheme="minorEastAsia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sectPr>
          <w:headerReference r:id="rId4" w:type="first"/>
          <w:headerReference r:id="rId3" w:type="default"/>
          <w:footerReference r:id="rId5" w:type="default"/>
          <w:type w:val="continuous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pStyle w:val="2"/>
        <w:spacing w:before="0" w:after="0" w:line="56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填写说明</w:t>
      </w:r>
    </w:p>
    <w:p>
      <w:pPr>
        <w:pStyle w:val="2"/>
        <w:spacing w:before="0" w:after="0" w:line="560" w:lineRule="exact"/>
        <w:ind w:firstLine="560" w:firstLineChars="200"/>
        <w:rPr>
          <w:rFonts w:ascii="黑体" w:hAnsi="黑体" w:eastAsia="黑体" w:cs="黑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一、内容说明</w:t>
      </w:r>
    </w:p>
    <w:p>
      <w:pPr>
        <w:autoSpaceDE w:val="0"/>
        <w:autoSpaceDN w:val="0"/>
        <w:adjustRightInd w:val="0"/>
        <w:spacing w:line="560" w:lineRule="exact"/>
        <w:ind w:firstLine="56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问卷内容由三个部分组成：第一部分是中央企业数据管理情况，包括数据治理、数据战略、数据架构、数据安全、数据质量、数据标准和数据全生命周期等方面；第二部分是中央企业大数据应用情况，包括大数据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资源、大数据平台、大数据应用、大数据产业等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方面；第三部分是中央企业数据资产情况，具体请填写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中央企业数据资产目录表（附件</w:t>
      </w: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Excel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表）。</w:t>
      </w:r>
    </w:p>
    <w:p>
      <w:pPr>
        <w:pStyle w:val="2"/>
        <w:spacing w:before="0" w:after="0" w:line="560" w:lineRule="exact"/>
        <w:ind w:firstLine="560" w:firstLineChars="200"/>
        <w:rPr>
          <w:rFonts w:ascii="黑体" w:hAnsi="黑体" w:eastAsia="黑体" w:cs="黑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二、填报要求</w:t>
      </w:r>
    </w:p>
    <w:p>
      <w:pPr>
        <w:autoSpaceDE w:val="0"/>
        <w:autoSpaceDN w:val="0"/>
        <w:adjustRightInd w:val="0"/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（一）应以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各平台企业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口径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进行填报，填报内容应能反映企业总体情况，填报的数据应以企业当前的实际数据为准。</w:t>
      </w:r>
    </w:p>
    <w:p>
      <w:pPr>
        <w:autoSpaceDE w:val="0"/>
        <w:autoSpaceDN w:val="0"/>
        <w:adjustRightInd w:val="0"/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二</w:t>
      </w:r>
      <w:r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如问卷内容不能全面反映企业实际情况，可另附说明，以附件形式提交。</w:t>
      </w:r>
    </w:p>
    <w:p>
      <w:pPr>
        <w:autoSpaceDE w:val="0"/>
        <w:autoSpaceDN w:val="0"/>
        <w:adjustRightInd w:val="0"/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（三）除特别说明，问卷和附表填写不得有缺项，如对填报项不能提供准确数据或判断，请提供接近实际情况的最佳估计。</w:t>
      </w:r>
    </w:p>
    <w:p>
      <w:pPr>
        <w:autoSpaceDE w:val="0"/>
        <w:autoSpaceDN w:val="0"/>
        <w:adjustRightInd w:val="0"/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四</w:t>
      </w:r>
      <w:r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问卷中未标明“可多选”的填报项，皆为“单选”。如选择“其它”选项，须说明具体内容或提交补充材料。</w:t>
      </w:r>
    </w:p>
    <w:p>
      <w:pPr>
        <w:autoSpaceDE w:val="0"/>
        <w:autoSpaceDN w:val="0"/>
        <w:adjustRightInd w:val="0"/>
        <w:spacing w:line="56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（五）本问卷需加盖企业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信息化职能管理部门公章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autoSpaceDE w:val="0"/>
        <w:autoSpaceDN w:val="0"/>
        <w:adjustRightInd w:val="0"/>
        <w:spacing w:line="560" w:lineRule="exact"/>
        <w:ind w:firstLine="560" w:firstLineChars="200"/>
        <w:rPr>
          <w:rFonts w:ascii="仿宋_GB2312" w:hAnsi="仿宋_GB2312" w:eastAsia="仿宋_GB2312" w:cs="仿宋_GB2312"/>
          <w:color w:val="FF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（六）如对问卷内容有疑问，第一部分和第三部分内容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请咨询钱丽娟13718913192，第二部分内容请咨询魏世欣13366202119。</w:t>
      </w:r>
    </w:p>
    <w:p>
      <w:pPr>
        <w:pStyle w:val="2"/>
        <w:spacing w:before="0" w:after="0" w:line="560" w:lineRule="exact"/>
        <w:ind w:firstLine="560" w:firstLineChars="200"/>
        <w:rPr>
          <w:rFonts w:ascii="黑体" w:hAnsi="黑体" w:eastAsia="黑体" w:cs="黑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三、术语和定义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数据资产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：通过各类业务应用系统采集、使用、产生、管理，具有管理、经济和社会价值，权属明晰，可量化、可控制、可交换的企业数据。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大数据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：是需要新处理模式才能具有更强的决策力、洞察发现力和流程优化能力的海量、高增长率和多样化的数据资产。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数据管理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：通过规划和执行相关政策策略、实践和项目，以获取、控制、保护和交付数据资产，从而提高数据资产价值。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数据治理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：是指对数据管理行使权力和控制的活动集合（计划、监督和执行）。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数据战略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：企业开展数据管理工作的愿景、目的、目标和原则。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数据架构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：通过企业级数据模型定义数据需求，指导对数据资产的分布控制和整合，部署数据的共享和应用环境，以及元数据的管理规范。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数据安全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：数据的机密性、完整性和可用性。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数据质量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：在指定条件下使用时，数据的特性满足明确的和隐含的要求的程度。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数据标准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：数据的命名、定义、结构和取值的规则。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数据全生命周期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：将原始数据转化为可用于行动的知识的一组过程。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数据模型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：是使用结构化的语言将收集到的组织业务经营、管理和决策中使用的数据需求进行综合分析，按照模型设计规范将需求重新组织。数据模型一般分为主题域模型、概念模型、逻辑模型和物理模型。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数据仓库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：由两个主要部分构成，首先是一个整合的决策支持数据库，其次是用于收集、清洗、转换、存储来自于各种操作型数据源和外部数据源数据的相关软件程序。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商务智能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：有两层含义，首先是指为了解组织活动和机会的一种数据分析；其次是指一组支持这种数据分析的技术。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指标数据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：企业在经营分析过程中衡量某一个目标或事务的数据，一般由指标名称、时间和数据等组成。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主数据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：组织中需要跨系统、跨部门共享的核心业务实体数据。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参考数据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：对其他数据进行分类和规范的数据。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元数据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：描述数据的数据，对数据及信息资源的描述性信息。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元模型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：规定一个或多个其他数据模型的数据模型。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业务术语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：业务术语是企业中业务概念的描述，包括中文名称、英文名称、术语定义等内容。</w:t>
      </w:r>
    </w:p>
    <w:p>
      <w:pPr>
        <w:autoSpaceDE w:val="0"/>
        <w:autoSpaceDN w:val="0"/>
        <w:adjustRightInd w:val="0"/>
        <w:spacing w:line="560" w:lineRule="exact"/>
        <w:ind w:firstLine="562" w:firstLineChars="2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数据元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：就是数据属性组，由一组属性规定其定义、标识、表示和允许值的数据单元</w:t>
      </w:r>
      <w:r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r>
        <w:br w:type="page"/>
      </w:r>
    </w:p>
    <w:p>
      <w:pPr>
        <w:sectPr>
          <w:footerReference r:id="rId7" w:type="first"/>
          <w:footerReference r:id="rId6" w:type="default"/>
          <w:type w:val="continuous"/>
          <w:pgSz w:w="11906" w:h="16838"/>
          <w:pgMar w:top="1440" w:right="1800" w:bottom="1440" w:left="1800" w:header="851" w:footer="397" w:gutter="0"/>
          <w:pgNumType w:start="1"/>
          <w:cols w:space="425" w:num="1"/>
          <w:titlePg/>
          <w:docGrid w:type="lines" w:linePitch="312" w:charSpace="0"/>
        </w:sectPr>
      </w:pPr>
    </w:p>
    <w:p>
      <w:pPr>
        <w:pStyle w:val="2"/>
        <w:spacing w:before="0" w:after="312" w:afterLines="100" w:line="56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color w:val="000000" w:themeColor="text1"/>
          <w:sz w:val="40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0"/>
          <w14:textFill>
            <w14:solidFill>
              <w14:schemeClr w14:val="tx1"/>
            </w14:solidFill>
          </w14:textFill>
        </w:rPr>
        <w:t>第一部分：中央企业数据管理情况</w:t>
      </w:r>
    </w:p>
    <w:p>
      <w:pPr>
        <w:outlineLvl w:val="0"/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一、数据治理</w:t>
      </w:r>
    </w:p>
    <w:p>
      <w:pPr>
        <w:pStyle w:val="25"/>
        <w:numPr>
          <w:ilvl w:val="1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sz w:val="24"/>
          <w:szCs w:val="24"/>
        </w:rPr>
        <w:t>企业数据管理组织的成立情况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A.成立专门的数据管理领导小组/委员会。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B.网络安全和信息化领导小组兼职承担数据管理领导小组/委员会的职责。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C.无集团层面的数据管理领导小组/委员会。</w:t>
      </w:r>
    </w:p>
    <w:p>
      <w:pPr>
        <w:pStyle w:val="25"/>
        <w:numPr>
          <w:ilvl w:val="1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企业数据管理领导小组/委员会负责人的职务级别是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A.董事长/总经理级别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B.副总经理级别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C.部门级别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D.未任命负责人</w:t>
      </w:r>
    </w:p>
    <w:p>
      <w:pPr>
        <w:pStyle w:val="25"/>
        <w:numPr>
          <w:ilvl w:val="1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企业是否设置首席数据官（</w:t>
      </w:r>
      <w:r>
        <w:rPr>
          <w:rFonts w:asciiTheme="minorEastAsia" w:hAnsiTheme="minorEastAsia"/>
          <w:sz w:val="24"/>
          <w:szCs w:val="24"/>
        </w:rPr>
        <w:t>CDO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Chief Data Officer）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是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否</w:t>
      </w:r>
    </w:p>
    <w:p>
      <w:pPr>
        <w:pStyle w:val="25"/>
        <w:numPr>
          <w:ilvl w:val="1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企业数据管理组织架构设置情况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A.总部设置专职的数据管理部门，负责统一组织协调各项数据管理工作。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B.总部未设置专职的数据管理部门，由总部其他部门兼职数据管理职能。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C.总部未设置专职或兼职的数据管理部门，由下属各单位分散承担数据管理职能。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D.各级单位均未设置数据管理组织。</w:t>
      </w:r>
    </w:p>
    <w:p>
      <w:pPr>
        <w:pStyle w:val="25"/>
        <w:numPr>
          <w:ilvl w:val="1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企业数据管理部门的职责主要包括以下哪些方面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/>
          <w:sz w:val="24"/>
          <w:szCs w:val="24"/>
        </w:rPr>
        <w:t>（可多选）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A.制定数据管理制度，规范数据管理流程。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B.数据治理，在数据管理和使用层面之上进行规划、监督和控制。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C.数据架构管理，定义数据资产管理蓝图。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D.数据标准管理，</w:t>
      </w:r>
      <w:r>
        <w:rPr>
          <w:rFonts w:hint="eastAsia" w:cs="仿宋_GB2312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数据的命名、定义、结构和取值规则的管理。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E.数据开发，数据的分析、设计、实施、测试、部署、维护等工作。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F.数据操作管理，提供从数据获取到清除的技术支持。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G.数据安全管理，确保隐私、保密性和适当的访问权限等。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H.数据质量管理，定义、监督和提高数据质量。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I.主数据管理，</w:t>
      </w:r>
      <w:r>
        <w:rPr>
          <w:rFonts w:ascii="Times New Roman" w:cs="Times New Roman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主数据指系统间共享</w:t>
      </w:r>
      <w:r>
        <w:rPr>
          <w:rFonts w:hint="eastAsia" w:ascii="Times New Roman" w:cs="Times New Roman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的描述企业核心业务实体的数据，主数据管理</w:t>
      </w:r>
      <w:r>
        <w:rPr>
          <w:rFonts w:ascii="Times New Roman" w:cs="Times New Roman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提供了一种方法，使企业能够有效地管理存储在分布系统中的数据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J.元数据管理，元数据的整合、控制以及提供元数据。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K.文档和内容管理，管理数据库以外的数据。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L.数据仓库和商务智能管理，在报告、查询和分析过程中提供数据和技术支持。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M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大数据分析应用。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</w:rPr>
        <w:t>N</w:t>
      </w:r>
      <w:r>
        <w:rPr>
          <w:rFonts w:hint="eastAsia" w:asciiTheme="minorEastAsia" w:hAnsiTheme="minorEastAsia"/>
          <w:sz w:val="24"/>
          <w:szCs w:val="24"/>
        </w:rPr>
        <w:t>.其他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</w:t>
      </w:r>
    </w:p>
    <w:p>
      <w:pPr>
        <w:pStyle w:val="25"/>
        <w:numPr>
          <w:ilvl w:val="1"/>
          <w:numId w:val="1"/>
        </w:numPr>
        <w:autoSpaceDE w:val="0"/>
        <w:autoSpaceDN w:val="0"/>
        <w:adjustRightInd w:val="0"/>
        <w:spacing w:line="360" w:lineRule="auto"/>
        <w:ind w:left="0" w:firstLine="420" w:firstLineChars="0"/>
        <w:jc w:val="left"/>
        <w:outlineLvl w:val="1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>企业内部专职数据管理人员数量</w:t>
      </w:r>
      <w:r>
        <w:rPr>
          <w:rFonts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人（专职数据管理人员是指：企业内部全职从事数据管理，及数据管理相关信息系统建设、运行维护工作的专职正式员工，不包括数据的业务使用人员和其他</w:t>
      </w:r>
      <w:r>
        <w:rPr>
          <w:rFonts w:asciiTheme="minorEastAsia" w:hAnsiTheme="minorEastAsia"/>
          <w:sz w:val="24"/>
          <w:szCs w:val="24"/>
        </w:rPr>
        <w:t>兼职</w:t>
      </w:r>
      <w:r>
        <w:rPr>
          <w:rFonts w:hint="eastAsia" w:asciiTheme="minorEastAsia" w:hAnsiTheme="minorEastAsia"/>
          <w:sz w:val="24"/>
          <w:szCs w:val="24"/>
        </w:rPr>
        <w:t>人员）。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420" w:firstLineChars="0"/>
        <w:jc w:val="left"/>
        <w:outlineLvl w:val="1"/>
        <w:rPr>
          <w:rFonts w:ascii="Times New Roman" w:cs="Times New Roman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cs="Times New Roman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近三年数据管理相关投入情况（软硬件投入、人员成本等），2018年（预算）</w:t>
      </w:r>
      <w:r>
        <w:rPr>
          <w:rFonts w:hint="eastAsia" w:ascii="Times New Roman" w:cs="Times New Roman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Times New Roman" w:cs="Times New Roman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万、2017年</w:t>
      </w:r>
      <w:r>
        <w:rPr>
          <w:rFonts w:hint="eastAsia" w:ascii="Times New Roman" w:cs="Times New Roman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Times New Roman" w:cs="Times New Roman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万、2016年</w:t>
      </w:r>
      <w:r>
        <w:rPr>
          <w:rFonts w:hint="eastAsia" w:ascii="Times New Roman" w:cs="Times New Roman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cs="Times New Roman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万。</w:t>
      </w:r>
    </w:p>
    <w:p>
      <w:pPr>
        <w:pStyle w:val="25"/>
        <w:numPr>
          <w:ilvl w:val="1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企业已制定的数据管理制度涵盖哪些内容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</w:t>
      </w:r>
      <w:r>
        <w:rPr>
          <w:rFonts w:asciiTheme="minorEastAsia" w:hAnsiTheme="minorEastAsia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</w:t>
      </w:r>
      <w:r>
        <w:rPr>
          <w:rFonts w:asciiTheme="minorEastAsia" w:hAnsiTheme="minorEastAsia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（可多选）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A.数据战略相关内容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B.数据治理相关内容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数据架构相关内容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数据应用相关内容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E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数据安全相关内容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F.</w:t>
      </w:r>
      <w:r>
        <w:rPr>
          <w:rFonts w:hint="eastAsia" w:asciiTheme="minorEastAsia" w:hAnsiTheme="minorEastAsia"/>
          <w:sz w:val="24"/>
          <w:szCs w:val="24"/>
        </w:rPr>
        <w:t>数据质量相关内容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G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数据标准相关内容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H.</w:t>
      </w:r>
      <w:r>
        <w:rPr>
          <w:rFonts w:hint="eastAsia" w:asciiTheme="minorEastAsia" w:hAnsiTheme="minorEastAsia"/>
          <w:sz w:val="24"/>
          <w:szCs w:val="24"/>
        </w:rPr>
        <w:t>数据全生命周期相关内容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I</w:t>
      </w:r>
      <w:r>
        <w:rPr>
          <w:rFonts w:hint="eastAsia" w:asciiTheme="minorEastAsia" w:hAnsiTheme="minorEastAsia"/>
          <w:sz w:val="24"/>
          <w:szCs w:val="24"/>
        </w:rPr>
        <w:t>.未制定企业级别的数据管理制度</w:t>
      </w:r>
    </w:p>
    <w:p>
      <w:pPr>
        <w:pStyle w:val="25"/>
        <w:numPr>
          <w:ilvl w:val="1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企业数据管理工作主要涉及哪些内容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/>
          <w:sz w:val="24"/>
          <w:szCs w:val="24"/>
        </w:rPr>
        <w:t>（可多选）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A.数据战略，企业中数据工作开展的目标指引，定义企业数据工作的方向、愿景和原则。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B.数据治理，涉及到数据管理的组织、标准规范，流程，架构等多方面，和数据管理的其他关键过程域都有交叉，是在高层次上制定、执行数据管理的制度。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C.数据架构，用于定义数据需求、指导对数据资产的整合和控制、使数据投资与业务战略相匹配的一套整体构建规范。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D</w:t>
      </w:r>
      <w:r>
        <w:rPr>
          <w:rFonts w:hint="eastAsia" w:asciiTheme="minorEastAsia" w:hAnsiTheme="minorEastAsia"/>
          <w:sz w:val="24"/>
          <w:szCs w:val="24"/>
        </w:rPr>
        <w:t>.数据安全，指企业中数据受到保护，没有受到破坏、更改、泄露和非法的访问。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hint="eastAsia" w:asciiTheme="minorEastAsia" w:hAnsiTheme="minorEastAsia"/>
          <w:sz w:val="24"/>
          <w:szCs w:val="24"/>
        </w:rPr>
        <w:t>.数据质量，指数据的适用性，描述数据对业务和管理的满足度。数据质量管理是对数据的分析、监控、评估和改进的过程。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F</w:t>
      </w:r>
      <w:r>
        <w:rPr>
          <w:rFonts w:hint="eastAsia" w:asciiTheme="minorEastAsia" w:hAnsiTheme="minorEastAsia"/>
          <w:sz w:val="24"/>
          <w:szCs w:val="24"/>
        </w:rPr>
        <w:t>.数据标准，是企业数据中的基准数据，为企业各个信息系统中的数据提供规范化、标准化的依据，是企业实现数据集成、共享的基础，是企业数据的重要组成部分。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G</w:t>
      </w:r>
      <w:r>
        <w:rPr>
          <w:rFonts w:hint="eastAsia" w:asciiTheme="minorEastAsia" w:hAnsiTheme="minorEastAsia"/>
          <w:sz w:val="24"/>
          <w:szCs w:val="24"/>
        </w:rPr>
        <w:t>.数据全生命周期，是指数据从设计、开发、创建、迁移、应用、存档、回收、再次激活以及退出的整个过程，对数据进行贯穿其整个生命的管理需要相应的策略和技术实现手段。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H</w:t>
      </w:r>
      <w:r>
        <w:rPr>
          <w:rFonts w:hint="eastAsia" w:asciiTheme="minorEastAsia" w:hAnsiTheme="minorEastAsia"/>
          <w:sz w:val="24"/>
          <w:szCs w:val="24"/>
        </w:rPr>
        <w:t>.数据应用，是指通过对企业数据进行统一管理、加工和应用，对内支持业务运营、流程优化、营销推广、风险管理、渠道整合等活动，对外支持数据开发共享、数据服务等活动。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</w:rPr>
        <w:t>I</w:t>
      </w:r>
      <w:r>
        <w:rPr>
          <w:rFonts w:hint="eastAsia" w:asciiTheme="minorEastAsia" w:hAnsiTheme="minorEastAsia"/>
          <w:sz w:val="24"/>
          <w:szCs w:val="24"/>
        </w:rPr>
        <w:t>.其他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企业已建集团级数据管理平台包含以下哪些模块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（可多选）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数据门户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数据安全管理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数据质量管理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数据架构管理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E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主数据管理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F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元数据管理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G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数据共享交换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H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数据仓库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I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大数据应用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J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未建设集团级数据管理平台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K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其他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企业数据管理工作在哪些方面存在问题和挑战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（可多选）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>A.数据管理工作没有成熟的政策标准指引和理论框架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B.缺少行业的成熟经验和实践案例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C.数据资产重视不足，缺乏顶层推动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D.数据管理文化建设和宣贯不够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E.数据认责机制不明确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F.</w:t>
      </w:r>
      <w:r>
        <w:rPr>
          <w:rFonts w:hint="eastAsia" w:asciiTheme="minorEastAsia" w:hAnsiTheme="minorEastAsia"/>
          <w:sz w:val="24"/>
          <w:szCs w:val="24"/>
        </w:rPr>
        <w:t>业务部门参与度不高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G</w:t>
      </w:r>
      <w:r>
        <w:rPr>
          <w:rFonts w:hint="eastAsia" w:asciiTheme="minorEastAsia" w:hAnsiTheme="minorEastAsia"/>
          <w:sz w:val="24"/>
          <w:szCs w:val="24"/>
        </w:rPr>
        <w:t>.缺乏数据管理和技术人才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H.</w:t>
      </w:r>
      <w:r>
        <w:rPr>
          <w:rFonts w:hint="eastAsia" w:asciiTheme="minorEastAsia" w:hAnsiTheme="minorEastAsia"/>
          <w:sz w:val="24"/>
          <w:szCs w:val="24"/>
        </w:rPr>
        <w:t>缺乏资金投入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I</w:t>
      </w:r>
      <w:r>
        <w:rPr>
          <w:rFonts w:hint="eastAsia" w:asciiTheme="minorEastAsia" w:hAnsiTheme="minorEastAsia"/>
          <w:sz w:val="24"/>
          <w:szCs w:val="24"/>
        </w:rPr>
        <w:t>.数据价值难以变现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</w:rPr>
        <w:t>J</w:t>
      </w:r>
      <w:r>
        <w:rPr>
          <w:rFonts w:hint="eastAsia" w:asciiTheme="minorEastAsia" w:hAnsiTheme="minorEastAsia"/>
          <w:sz w:val="24"/>
          <w:szCs w:val="24"/>
        </w:rPr>
        <w:t>.其他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</w:p>
    <w:p>
      <w:pPr>
        <w:outlineLvl w:val="0"/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二、数据战略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企业数据战略规划制定情况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</w:t>
      </w:r>
      <w:r>
        <w:rPr>
          <w:rFonts w:hint="eastAsia" w:asciiTheme="minorEastAsia" w:hAnsiTheme="minorEastAsia"/>
          <w:sz w:val="24"/>
          <w:szCs w:val="24"/>
        </w:rPr>
        <w:t>.根据业务发展需求制定了企业统一的数据战略规划。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B</w:t>
      </w:r>
      <w:r>
        <w:rPr>
          <w:rFonts w:hint="eastAsia" w:asciiTheme="minorEastAsia" w:hAnsiTheme="minorEastAsia"/>
          <w:sz w:val="24"/>
          <w:szCs w:val="24"/>
        </w:rPr>
        <w:t>.所属各单位分别制定数据战略规划，企业根据各单位上报情况，制定数据战略规划。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C</w:t>
      </w:r>
      <w:r>
        <w:rPr>
          <w:rFonts w:hint="eastAsia" w:asciiTheme="minorEastAsia" w:hAnsiTheme="minorEastAsia"/>
          <w:sz w:val="24"/>
          <w:szCs w:val="24"/>
        </w:rPr>
        <w:t>.所属各单位分别制定数据战略规划。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D</w:t>
      </w:r>
      <w:r>
        <w:rPr>
          <w:rFonts w:hint="eastAsia" w:asciiTheme="minorEastAsia" w:hAnsiTheme="minorEastAsia"/>
          <w:sz w:val="24"/>
          <w:szCs w:val="24"/>
        </w:rPr>
        <w:t>.未制定企业</w:t>
      </w:r>
      <w:r>
        <w:rPr>
          <w:rFonts w:asciiTheme="minorEastAsia" w:hAnsiTheme="minorEastAsia"/>
          <w:sz w:val="24"/>
          <w:szCs w:val="24"/>
        </w:rPr>
        <w:t>级</w:t>
      </w:r>
      <w:r>
        <w:rPr>
          <w:rFonts w:hint="eastAsia" w:asciiTheme="minorEastAsia" w:hAnsiTheme="minorEastAsia"/>
          <w:sz w:val="24"/>
          <w:szCs w:val="24"/>
        </w:rPr>
        <w:t>数据战略规划。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企业数据战略规划的实施情况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A.已在企业全面实施，数据管理各项工作成果能及时满足业务经营发展需要，</w:t>
      </w:r>
      <w:r>
        <w:rPr>
          <w:rFonts w:asciiTheme="minorEastAsia" w:hAnsiTheme="minorEastAsia"/>
          <w:sz w:val="24"/>
          <w:szCs w:val="24"/>
        </w:rPr>
        <w:t>发挥数据</w:t>
      </w:r>
      <w:r>
        <w:rPr>
          <w:rFonts w:hint="eastAsia" w:asciiTheme="minorEastAsia" w:hAnsiTheme="minorEastAsia"/>
          <w:sz w:val="24"/>
          <w:szCs w:val="24"/>
        </w:rPr>
        <w:t>价值。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B.已在企业全面实施，能跟踪评估各项数据任务的实施情况，结合工作进展调整更新实施计划。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C.已在部分单位实施，并针对具体管理任务建立战略目标完成情况的评估准则。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D.未实施数据战略规划。</w:t>
      </w:r>
    </w:p>
    <w:p>
      <w:pPr>
        <w:outlineLvl w:val="0"/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三、数据架构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企业数据模型（数据资源目录）管理情况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asciiTheme="minorEastAsia" w:hAnsiTheme="minorEastAsia"/>
          <w:sz w:val="24"/>
          <w:szCs w:val="24"/>
          <w:u w:val="single"/>
        </w:rPr>
        <w:t xml:space="preserve">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A.已在企业层面管理数据模型，可以依据企业级的数据模型，指导整个企业应用系统的规划、建设和运维。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B.已在企业层面管理数据模型，对全部应用系统的数据现状进行梳理，建立了统一的数据资源目录，并根据系统的建设定期更新企业级的数据模型。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C.已在企业层面管理数据模型，对部分应用系统的数据现状进行梳理，结合企业业务发展需要，在某个业务领域建立了企业级的数据模型。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D.在应用系统层面管理数据模型，编制了数据模型开发和管理的规范。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企业数据分布管理情况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</w:t>
      </w:r>
      <w:r>
        <w:rPr>
          <w:rFonts w:asciiTheme="minorEastAsia" w:hAnsi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A.已在企业层面管理数据分布，通过数据分布关系的梳理可量化分析数据相关工作的业务价值，优化数据的存储和集成工作。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B.已在企业层面管理数据分布，全面梳理应用系统数据现状，数据分布关系，形成企业级的数据分布关系成果库。企业内的所有数据按照数据分类进行管理，确定每个数据的权威数据源和合理的数据部署。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C.已在企业层面管理数据分布，对应用系统现状进行了部分梳理，业务部门内部已对关键数据确定权威数据源。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D.未在企业层面对数据分布情况进行管理。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企业数据集成与共享情况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</w:t>
      </w:r>
      <w:r>
        <w:rPr>
          <w:rFonts w:asciiTheme="minorEastAsia" w:hAnsi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A.已在企业层面管理，并采用行业标准和国家标准的交换规范，实现企业内外应用系统间的数据交换。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B.已在企业层面管理，通过企业统一的数据集成和共享平台对企业内部数据进行集中管理，实现了统一采集，集中共享。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C.所属各单位分别管理，建立了各单位独立的数据集成平台，对内部的数据集成接口进行管理；各单位之间点对点数据集成的现象普遍存在。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D.应用系统间通过离线方式进行数据交换，各单位之间数据孤岛现象明显，拥有的数据相互独立。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企业的元数据管理情况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A.已在企业层面管理元数据，企业已与外部组织合作开展元模型融合设计、开发；与少量外部机构实现元数据的采集、共享、交换和应用。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B.已在企业层面管理元数据，建立了企业集中的元数据存储库，统一管理多个业务领域及其应用系统的元数据。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C.已在企业层面管理元数据，在某个业务领域设计了元数据的元模型，并建立了集中的元数据存储库。</w:t>
      </w:r>
    </w:p>
    <w:p>
      <w:pPr>
        <w:pStyle w:val="28"/>
        <w:spacing w:line="360" w:lineRule="auto"/>
        <w:ind w:firstLine="480"/>
        <w:rPr>
          <w:rFonts w:ascii="仿宋" w:hAnsi="仿宋" w:eastAsia="仿宋"/>
          <w:sz w:val="28"/>
          <w:szCs w:val="28"/>
        </w:rPr>
      </w:pPr>
      <w:r>
        <w:rPr>
          <w:rFonts w:hint="eastAsia" w:asciiTheme="minorEastAsia" w:hAnsiTheme="minorEastAsia"/>
          <w:sz w:val="24"/>
          <w:szCs w:val="24"/>
        </w:rPr>
        <w:t>D.未在企业层面管理元数据，在项目层面生成和维护各类元数据。</w:t>
      </w:r>
    </w:p>
    <w:p>
      <w:pPr>
        <w:outlineLvl w:val="0"/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四、数据安全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企业的数据安全标准和策略情况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A.在企业层面建立了统一的数据安全标准与策略，并符合国家标准或行业标准的相关规定，能根据内外部环境的变化定期优化提升数据安全标准和策略。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B.在企业层面建立了统一的数据安全标准与策略并正式发布。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C.在各单位内部分别建立了数据安全标准、管理策略和管理流程。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D.在项目中制定了数据安全标准与策略，并在文档中进行了描述。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企业的数据安全管理情况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A.已在企业层面管理数据安全，能主动预防数据安全风险，并对已发生的数据安全问题进行溯源和分析。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B.已在企业层面管理数据安全，定义了数据安全管理的考核指标和考核办法，并定期进行相关的考核，定期总结数据安全管理工作，在企业层面发布数据安全管理工作报告。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C.已在企业层面管理数据安全，对数据进行了全面的安全等级划分，每级数据的安全需求能清晰定义，安全需求的责任部门明确。定期开展数据安全相关培训和宣贯，提升企业人员数据安全意识。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D.在各单位内部对数据进行安全等级划分，进行数据访问、使用等方面的监控。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E.在项目中进行了数据访问授权和数据安全监控。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企业的数据安全审计情况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A.数据安全审计是企业审计工作的重要组成部分，数据安全审计能推动数据安全标准和策略的优化及实施。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B.已在企业层面进行数据安全审计，内部审计和外部审计相结合，协同推进数据安全工作的开展。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C.在企业层面统一数据安全审计的流程、相关文档模板和规范，制定数据安全审计计划，定期开展数据安全审计工作。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D.在各单位内部进行数据安全审计，规范数据安全审计的流程和相关文件模板。</w:t>
      </w:r>
    </w:p>
    <w:p>
      <w:pPr>
        <w:pStyle w:val="28"/>
        <w:spacing w:line="360" w:lineRule="auto"/>
        <w:ind w:firstLine="480"/>
        <w:rPr>
          <w:rFonts w:ascii="仿宋" w:hAnsi="仿宋" w:eastAsia="仿宋"/>
          <w:sz w:val="28"/>
          <w:szCs w:val="28"/>
        </w:rPr>
      </w:pPr>
      <w:r>
        <w:rPr>
          <w:rFonts w:hint="eastAsia" w:asciiTheme="minorEastAsia" w:hAnsiTheme="minorEastAsia"/>
          <w:sz w:val="24"/>
          <w:szCs w:val="24"/>
        </w:rPr>
        <w:t>E.与公司信息化审计合并进行，没有独立的数据安全审计。</w:t>
      </w:r>
    </w:p>
    <w:p>
      <w:pPr>
        <w:outlineLvl w:val="0"/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五、数据质量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企业的数据质量需求情况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A.在企业层面明确数据质量需求，数据质量需求能满足业务管理的需要，并融入到数据全生命周期管理的各个阶段。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B.在企业层面明确数据质量需求，根据业务管理需要，建立企业统一的数据质量评价体系以及相应的规则库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C.在各单位分别识别关键数据的质量需求，设计满足本单位需求的数据质量评价指标，并建立了数据质量规则库。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D.在项目中分析数据质量的管理需求，并进行了相关的管理。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企业的数据质量检查情况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A.在企业层面统一管理数据质量，将数据质量管理纳入业务人员日常管理工作中，可主动发现并解决相关问题。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B.在企业层面明确数据质量检查制度、流程和工具。统一开展数据质量检查，帮助数据管理人员及时发现各自的数据质量问题。建立数据质量相关考核制度，明确数据质量责任人员考核的范围和目标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C.在各单位分别制定数据质量检查方面的管理制度和流程，根据需要进行数据质量剖析和校验。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D.基于出现的数据问题，开展数据质量检查工作。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企业的数据质量分析情况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A.在企业层面建立数据质量问题的经济效益评估模型，分析数据质量问题的经济影响，持续改善优化数据质量知识库。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>B.在企业层面制定数据质量问题评估分析方法，制定统一的数据质量报告模板，明确数据质量问题分析的要求，对产生的信息进行知识总结，建立数据质量知识库。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C.在某些单位或业务部门建立数据质量问题评估分析方法，制定数据质量报告模板，对数据质量问题进行分析。请写明企业下属哪些单位或部门开展了此项工作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D.基于出现的数据质量问题进行分析和评估。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企业的数据质量提升情况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A.在企业内开展数据质量提升工作，避免相关问题的发生，形成良性循环。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B.企业中的管理人员、技术人员、业务人员能协同推动数据质量提升工作，能通过量化分析的方式对数据质量提升过程进行评估，并对管理过程和方法进行优化。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C.在企业层面建立数据质量问题提升管理制度，定期开展数据质量提升工作。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D.在各单位制定数据质量问题提升的管理制度，指导数据质量提升工作，批量进行数据质量问题更正，建立数据质量跟踪记录。请写明企业下属哪些单位或部门开展了此项工作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E.对各单位或应用系统中出现的数据问题进行数据质量校正。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企业在日常工作中常见的数据质量问题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</w:t>
      </w:r>
      <w:r>
        <w:rPr>
          <w:rFonts w:asciiTheme="minorEastAsia" w:hAnsi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（可多选）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A.</w:t>
      </w:r>
      <w:r>
        <w:rPr>
          <w:rFonts w:hint="eastAsia" w:asciiTheme="minorEastAsia" w:hAnsiTheme="minorEastAsia"/>
          <w:sz w:val="24"/>
          <w:szCs w:val="24"/>
        </w:rPr>
        <w:t>数据内容不完整。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数据格式不一致。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数据语义不准确。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数据录入、审批不及时。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E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系统间数据集成度不够，导致数据源不统一。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F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其他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</w:t>
      </w:r>
    </w:p>
    <w:p>
      <w:pPr>
        <w:outlineLvl w:val="0"/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六、数据标准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企业在以下哪些方面制定了统一的数据标准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</w:t>
      </w:r>
      <w:r>
        <w:rPr>
          <w:rFonts w:hint="eastAsia" w:asciiTheme="minorEastAsia" w:hAnsiTheme="minorEastAsia"/>
          <w:sz w:val="24"/>
          <w:szCs w:val="24"/>
        </w:rPr>
        <w:t>（可多选）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A.业务术语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B.参考数据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C.主数据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D.数据元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E.业务数据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F.指标数据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>G.其他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420"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企业实现了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类指标数据的统一管理，共包含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/>
          <w:sz w:val="24"/>
          <w:szCs w:val="24"/>
        </w:rPr>
        <w:t>个指标数据，对外发布了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</w:t>
      </w:r>
      <w:r>
        <w:rPr>
          <w:rFonts w:asciiTheme="minorEastAsia" w:hAnsi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/>
          <w:sz w:val="24"/>
          <w:szCs w:val="24"/>
          <w:u w:val="none"/>
        </w:rPr>
        <w:t>等</w:t>
      </w:r>
      <w:r>
        <w:rPr>
          <w:rFonts w:hint="eastAsia" w:asciiTheme="minorEastAsia" w:hAnsiTheme="minorEastAsia"/>
          <w:sz w:val="24"/>
          <w:szCs w:val="24"/>
        </w:rPr>
        <w:t>指标数据/行业指数信息（列出名称）。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企业数据标准管理情况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A.在企业层面制定了统一的数据标准以及管理办法，在多个业务领域及其应用系统执行相关的数据标准，并监督落实执行。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B.在企业层面制定了统一的数据标准以及管理办法，在多个业务领域及其应用系统执行相关的数据标准。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C.在企业层面制定数据标准，在某个业务领域及其相应的信息系统执行相关的数据标准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D.在各单位或应用系统中制定了数据标准。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E.没有制定数据标准。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企业在制定、实施数据标准过程中存在哪些问题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/>
          <w:sz w:val="24"/>
          <w:szCs w:val="24"/>
        </w:rPr>
        <w:t>（可多选）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A.缺少企业层级的数据标准管理组织。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B.数据标准管理的流程规范不完整。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C.已建立标准，未得到企业内部广泛认可，无法落地执行。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D.多套口径，标准混乱。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E.数据标准缺失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>F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其他具体说明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</w:t>
      </w:r>
    </w:p>
    <w:p>
      <w:pPr>
        <w:outlineLvl w:val="0"/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七、数据全生命周期</w:t>
      </w:r>
    </w:p>
    <w:p>
      <w:pPr>
        <w:pStyle w:val="2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420" w:firstLineChars="0"/>
        <w:jc w:val="left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企业对数据全生命周期（数据需求、数据设计和开发、数据运维、数据销毁）管理情况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A.在企业层面统一管理，结合业务对数据的需求，定义并应用量化指标，衡量数据全生命周期管理的有效性。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B.在企业层面统一管理，根据全企业范围内的业务需求管理数据全生命周期。</w:t>
      </w:r>
    </w:p>
    <w:p>
      <w:pPr>
        <w:pStyle w:val="28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C.在各单位或某个业务领域管理，根据业务需求管理数据全生命周期。</w:t>
      </w:r>
    </w:p>
    <w:p>
      <w:pPr>
        <w:pStyle w:val="28"/>
        <w:spacing w:line="360" w:lineRule="auto"/>
        <w:ind w:firstLine="480"/>
        <w:rPr>
          <w:rFonts w:ascii="仿宋" w:hAnsi="仿宋" w:eastAsia="仿宋"/>
          <w:sz w:val="28"/>
          <w:szCs w:val="28"/>
        </w:rPr>
      </w:pPr>
      <w:r>
        <w:rPr>
          <w:rFonts w:hint="eastAsia" w:asciiTheme="minorEastAsia" w:hAnsiTheme="minorEastAsia"/>
          <w:sz w:val="24"/>
          <w:szCs w:val="24"/>
        </w:rPr>
        <w:t>D.在项目层面管理，根据项目的需求管理数据全生命周期。</w:t>
      </w:r>
    </w:p>
    <w:p>
      <w:pPr>
        <w:widowControl/>
        <w:ind w:firstLine="280" w:firstLineChars="1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br w:type="page"/>
      </w:r>
    </w:p>
    <w:p>
      <w:pPr>
        <w:pStyle w:val="2"/>
        <w:spacing w:before="0" w:after="312" w:afterLines="100" w:line="56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color w:val="000000" w:themeColor="text1"/>
          <w:sz w:val="40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0"/>
          <w14:textFill>
            <w14:solidFill>
              <w14:schemeClr w14:val="tx1"/>
            </w14:solidFill>
          </w14:textFill>
        </w:rPr>
        <w:t>第二部分 中央企业大数据应用情况</w:t>
      </w:r>
    </w:p>
    <w:p>
      <w:pPr>
        <w:outlineLvl w:val="0"/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八、大数据资源</w:t>
      </w:r>
    </w:p>
    <w:p>
      <w:pPr>
        <w:pStyle w:val="28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企业积累的大数据资源规模约为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</w:t>
      </w:r>
      <w:r>
        <w:rPr>
          <w:rFonts w:asciiTheme="minorEastAsia" w:hAnsiTheme="minorEastAsia"/>
          <w:sz w:val="24"/>
          <w:szCs w:val="24"/>
          <w:u w:val="single"/>
        </w:rPr>
        <w:t>GB</w:t>
      </w:r>
      <w:r>
        <w:rPr>
          <w:rFonts w:hint="eastAsia" w:asciiTheme="minorEastAsia" w:hAnsiTheme="minorEastAsia"/>
          <w:sz w:val="24"/>
          <w:szCs w:val="24"/>
        </w:rPr>
        <w:t xml:space="preserve">，其中企业内部产生的占比为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%</w:t>
      </w:r>
      <w:r>
        <w:rPr>
          <w:rFonts w:hint="eastAsia" w:asciiTheme="minorEastAsia" w:hAnsiTheme="minorEastAsia"/>
          <w:sz w:val="24"/>
          <w:szCs w:val="24"/>
        </w:rPr>
        <w:t>，企业外部购买占比为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%</w:t>
      </w:r>
      <w:r>
        <w:rPr>
          <w:rFonts w:hint="eastAsia" w:asciiTheme="minorEastAsia" w:hAnsiTheme="minorEastAsia"/>
          <w:sz w:val="24"/>
          <w:szCs w:val="24"/>
        </w:rPr>
        <w:t>，外部数据来源及其占比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/>
          <w:sz w:val="24"/>
          <w:szCs w:val="24"/>
        </w:rPr>
        <w:t>，企业数据仓储容量规模达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</w:t>
      </w:r>
      <w:r>
        <w:rPr>
          <w:rFonts w:asciiTheme="minorEastAsia" w:hAnsiTheme="minorEastAsia"/>
          <w:sz w:val="24"/>
          <w:szCs w:val="24"/>
          <w:u w:val="single"/>
        </w:rPr>
        <w:t>GB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pStyle w:val="28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sz w:val="24"/>
          <w:szCs w:val="24"/>
        </w:rPr>
        <w:t>企业内部从事大数据工作的专职信息化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员工</w:t>
      </w:r>
      <w:r>
        <w:rPr>
          <w:rFonts w:hint="eastAsia" w:asciiTheme="minorEastAsia" w:hAnsiTheme="minorEastAsia"/>
          <w:sz w:val="24"/>
          <w:szCs w:val="24"/>
        </w:rPr>
        <w:t>数量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/>
          <w:sz w:val="24"/>
          <w:szCs w:val="24"/>
        </w:rPr>
        <w:t>人（专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职信息化员工是指：企业内部从事信息化管理、建设、运行维护工作的专职正式员工，不包括各信息系统应用人员），占企业全部信息化员工比例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%，上述人员中</w:t>
      </w:r>
      <w:r>
        <w:rPr>
          <w:rFonts w:hint="eastAsia" w:asciiTheme="minorEastAsia" w:hAnsiTheme="minorEastAsia"/>
          <w:sz w:val="24"/>
          <w:szCs w:val="24"/>
        </w:rPr>
        <w:t>大数据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研发人员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人。</w:t>
      </w:r>
    </w:p>
    <w:p>
      <w:pPr>
        <w:pStyle w:val="28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企业大数据资源主要有哪些类型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（可多选）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A.交易数据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B.日志数据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C.地理信息数据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D.社交媒体数据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E.文本数据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F.电子邮件、文件数据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G.图像数据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H.音频数据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.视频数据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J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传感器数据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K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.其他，请说明                             </w:t>
      </w:r>
    </w:p>
    <w:p>
      <w:pPr>
        <w:pStyle w:val="28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企业大数据资源的主要来源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（可多选）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A.内部生产管理数据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B.内部经营管理数据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C.终端设备传感数据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.客户/用户数据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.互联网公开数据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F.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政府免费开放数据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.外部采购数据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H.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其他，请说明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pStyle w:val="25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企业外部采购数据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（可多选），企业在每年获取上述外部数据资源时的支出是多少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万元。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A.宏观经济数据  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B.行业信息数据  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C.客户信息数据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D.供应商信息数据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E.市场调研数据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F.竞争对手数据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.财务数据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.舆情数据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="黑体" w:hAnsi="黑体" w:eastAsia="黑体"/>
          <w:sz w:val="28"/>
          <w:szCs w:val="32"/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I.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其他，请说明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</w:t>
      </w:r>
    </w:p>
    <w:p>
      <w:pPr>
        <w:outlineLvl w:val="0"/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九、大数据平台</w:t>
      </w:r>
    </w:p>
    <w:p>
      <w:pPr>
        <w:pStyle w:val="25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企业是否已经建立集团级大数据平台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A.建设集团级统一的大数据平台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B.各下属单位自行建设企业级大数据平台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C.未建立大数据平台，主要使用成熟的数据分析工具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D.尚未开展大数据应用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E.其它，请说明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</w:t>
      </w:r>
    </w:p>
    <w:p>
      <w:pPr>
        <w:pStyle w:val="25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企业的集团级大数据平台，实现了哪些功能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（可多选）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A.数据可视化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B.数据分析挖掘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C.数据存储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D.数据预处理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E.数据采集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F.其它，请说明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</w:t>
      </w:r>
    </w:p>
    <w:p>
      <w:pPr>
        <w:pStyle w:val="28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企业的大数据平台开发方式为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（可多选）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开源封装、公开算法等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自主研发、产学研合作等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购买外部成熟软件和解决方案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使用公有云大数据服务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E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其他，请说明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</w:t>
      </w:r>
    </w:p>
    <w:p>
      <w:pPr>
        <w:pStyle w:val="28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企业的大数据平台部署方式是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本地化部署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自主云化部署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使用外部云服务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其他，请说明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outlineLvl w:val="0"/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十、大数据应用</w:t>
      </w:r>
    </w:p>
    <w:p>
      <w:pPr>
        <w:pStyle w:val="28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企业开展了哪些大数据行业应用</w:t>
      </w:r>
      <w:r>
        <w:rPr>
          <w:rFonts w:hint="eastAsia" w:asciiTheme="minorEastAsia" w:hAnsiTheme="minorEastAsia" w:cstheme="minorEastAsia"/>
          <w:bCs/>
          <w:kern w:val="0"/>
          <w:sz w:val="24"/>
          <w:szCs w:val="24"/>
          <w:u w:val="single"/>
        </w:rPr>
        <w:t xml:space="preserve">            （</w:t>
      </w: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可多选）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A.社会服务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B.农业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C.制造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D.能源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E.电信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F.交通运输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G.电子商务</w:t>
      </w:r>
      <w:r>
        <w:rPr>
          <w:rFonts w:asciiTheme="minorEastAsia" w:hAnsiTheme="minorEastAsia" w:cstheme="minorEastAsia"/>
          <w:bCs/>
          <w:kern w:val="0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H.金融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/>
          <w:bCs/>
          <w:kern w:val="0"/>
          <w:sz w:val="24"/>
          <w:szCs w:val="24"/>
        </w:rPr>
        <w:t>I</w:t>
      </w: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.科学研究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/>
          <w:bCs/>
          <w:kern w:val="0"/>
          <w:sz w:val="24"/>
          <w:szCs w:val="24"/>
        </w:rPr>
        <w:t>J.</w:t>
      </w: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旅游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/>
          <w:bCs/>
          <w:kern w:val="0"/>
          <w:sz w:val="24"/>
          <w:szCs w:val="24"/>
        </w:rPr>
        <w:t>K.</w:t>
      </w: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卫生医疗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/>
          <w:bCs/>
          <w:kern w:val="0"/>
          <w:sz w:val="24"/>
          <w:szCs w:val="24"/>
        </w:rPr>
        <w:t>L.</w:t>
      </w: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文化教育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/>
          <w:bCs/>
          <w:kern w:val="0"/>
          <w:sz w:val="24"/>
          <w:szCs w:val="24"/>
        </w:rPr>
        <w:t>M.</w:t>
      </w: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建筑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/>
          <w:bCs/>
          <w:kern w:val="0"/>
          <w:sz w:val="24"/>
          <w:szCs w:val="24"/>
        </w:rPr>
        <w:t>N.</w:t>
      </w: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其他，请说明</w:t>
      </w:r>
      <w:r>
        <w:rPr>
          <w:rFonts w:hint="eastAsia" w:asciiTheme="minorEastAsia" w:hAnsiTheme="minorEastAsia" w:cstheme="minorEastAsia"/>
          <w:bCs/>
          <w:kern w:val="0"/>
          <w:sz w:val="24"/>
          <w:szCs w:val="24"/>
          <w:u w:val="single"/>
        </w:rPr>
        <w:t xml:space="preserve">                                      </w:t>
      </w: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 xml:space="preserve">               </w:t>
      </w:r>
    </w:p>
    <w:p>
      <w:pPr>
        <w:pStyle w:val="28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企业开展了哪些大数据内部应用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（可多选）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A.风险控制，请简要描述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广告营销，请简要描述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产品开发，请简要描述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运营优化，请简要描述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E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人力资源，请简要描述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F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客户服务，请简要描述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G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安全监控，请简要描述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H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供应链管理，请简要描述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.舆情监控，请简要描述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J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.其它，请说明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</w:t>
      </w:r>
    </w:p>
    <w:p>
      <w:pPr>
        <w:pStyle w:val="25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企业通过大数据应用带来哪些好处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（可多选）</w:t>
      </w:r>
    </w:p>
    <w:p>
      <w:pPr>
        <w:pStyle w:val="25"/>
        <w:autoSpaceDE w:val="0"/>
        <w:autoSpaceDN w:val="0"/>
        <w:adjustRightInd w:val="0"/>
        <w:spacing w:line="360" w:lineRule="auto"/>
        <w:ind w:firstLineChars="0"/>
        <w:jc w:val="left"/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A.提升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工作效率</w:t>
      </w:r>
    </w:p>
    <w:p>
      <w:pPr>
        <w:pStyle w:val="25"/>
        <w:autoSpaceDE w:val="0"/>
        <w:autoSpaceDN w:val="0"/>
        <w:adjustRightInd w:val="0"/>
        <w:spacing w:line="360" w:lineRule="auto"/>
        <w:ind w:firstLineChars="0"/>
        <w:jc w:val="left"/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B.降低生产成本</w:t>
      </w:r>
    </w:p>
    <w:p>
      <w:pPr>
        <w:pStyle w:val="25"/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C.改善管理能力</w:t>
      </w:r>
    </w:p>
    <w:p>
      <w:pPr>
        <w:pStyle w:val="25"/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有效控制风险</w:t>
      </w:r>
    </w:p>
    <w:p>
      <w:pPr>
        <w:pStyle w:val="25"/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E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精准营销，扩大收入</w:t>
      </w:r>
    </w:p>
    <w:p>
      <w:pPr>
        <w:pStyle w:val="25"/>
        <w:autoSpaceDE w:val="0"/>
        <w:autoSpaceDN w:val="0"/>
        <w:adjustRightInd w:val="0"/>
        <w:spacing w:line="360" w:lineRule="auto"/>
        <w:ind w:left="420" w:firstLine="0" w:firstLineChars="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.增加经济效益，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为企业直接带来的经济价值为</w:t>
      </w:r>
      <w:r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万元。</w:t>
      </w:r>
    </w:p>
    <w:p>
      <w:pPr>
        <w:pStyle w:val="25"/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.改善服务水平，提升客户体验</w:t>
      </w:r>
    </w:p>
    <w:p>
      <w:pPr>
        <w:pStyle w:val="25"/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H.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强化安全保障</w:t>
      </w:r>
    </w:p>
    <w:p>
      <w:pPr>
        <w:pStyle w:val="25"/>
        <w:autoSpaceDE w:val="0"/>
        <w:autoSpaceDN w:val="0"/>
        <w:adjustRightInd w:val="0"/>
        <w:spacing w:line="360" w:lineRule="auto"/>
        <w:ind w:left="420" w:firstLine="0" w:firstLineChars="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.推动商业模式创新</w:t>
      </w:r>
    </w:p>
    <w:p>
      <w:pPr>
        <w:pStyle w:val="25"/>
        <w:autoSpaceDE w:val="0"/>
        <w:autoSpaceDN w:val="0"/>
        <w:adjustRightInd w:val="0"/>
        <w:spacing w:line="360" w:lineRule="auto"/>
        <w:ind w:left="420" w:firstLine="0" w:firstLineChars="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J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.促进技术和产品创新</w:t>
      </w:r>
    </w:p>
    <w:p>
      <w:pPr>
        <w:pStyle w:val="25"/>
        <w:autoSpaceDE w:val="0"/>
        <w:autoSpaceDN w:val="0"/>
        <w:adjustRightInd w:val="0"/>
        <w:spacing w:line="360" w:lineRule="auto"/>
        <w:ind w:left="420" w:firstLine="0" w:firstLineChars="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K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.其他，请说明：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</w:t>
      </w:r>
    </w:p>
    <w:p>
      <w:pPr>
        <w:pStyle w:val="25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企业发展大数据业务面临的问题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（可多选）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缺少政策和标准指引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数据资源缺乏共享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数据管理水平不高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大数据技术能力不足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E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大数据应用资金和人员投入不足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F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大数据应用模式和场景不清晰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G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大数据应用效果和价值难以衡量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H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数据安全保障能力不足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I.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其他,请说明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</w:t>
      </w:r>
    </w:p>
    <w:p>
      <w:pPr>
        <w:pStyle w:val="25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企业希望与其他中央企业共享哪些类数据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（可多选）</w:t>
      </w:r>
    </w:p>
    <w:p>
      <w:pPr>
        <w:pStyle w:val="25"/>
        <w:tabs>
          <w:tab w:val="left" w:pos="993"/>
        </w:tabs>
        <w:autoSpaceDE w:val="0"/>
        <w:autoSpaceDN w:val="0"/>
        <w:adjustRightInd w:val="0"/>
        <w:spacing w:line="360" w:lineRule="auto"/>
        <w:ind w:left="420" w:firstLine="0" w:firstLineChars="0"/>
        <w:jc w:val="left"/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</w:t>
      </w:r>
      <w:r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战略发展数据</w:t>
      </w:r>
    </w:p>
    <w:p>
      <w:pPr>
        <w:pStyle w:val="25"/>
        <w:tabs>
          <w:tab w:val="left" w:pos="993"/>
        </w:tabs>
        <w:autoSpaceDE w:val="0"/>
        <w:autoSpaceDN w:val="0"/>
        <w:adjustRightInd w:val="0"/>
        <w:spacing w:line="360" w:lineRule="auto"/>
        <w:ind w:left="420" w:firstLine="0" w:firstLineChars="0"/>
        <w:jc w:val="left"/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经营管理数据</w:t>
      </w:r>
    </w:p>
    <w:p>
      <w:pPr>
        <w:pStyle w:val="25"/>
        <w:tabs>
          <w:tab w:val="left" w:pos="993"/>
        </w:tabs>
        <w:autoSpaceDE w:val="0"/>
        <w:autoSpaceDN w:val="0"/>
        <w:adjustRightInd w:val="0"/>
        <w:spacing w:line="360" w:lineRule="auto"/>
        <w:ind w:left="420" w:firstLine="0" w:firstLineChars="0"/>
        <w:jc w:val="left"/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核心业务数据</w:t>
      </w:r>
    </w:p>
    <w:p>
      <w:pPr>
        <w:pStyle w:val="25"/>
        <w:tabs>
          <w:tab w:val="left" w:pos="993"/>
        </w:tabs>
        <w:autoSpaceDE w:val="0"/>
        <w:autoSpaceDN w:val="0"/>
        <w:adjustRightInd w:val="0"/>
        <w:spacing w:line="360" w:lineRule="auto"/>
        <w:ind w:left="420" w:firstLine="0" w:firstLineChars="0"/>
        <w:jc w:val="left"/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用户/客户数据</w:t>
      </w:r>
    </w:p>
    <w:p>
      <w:pPr>
        <w:pStyle w:val="25"/>
        <w:tabs>
          <w:tab w:val="left" w:pos="993"/>
        </w:tabs>
        <w:autoSpaceDE w:val="0"/>
        <w:autoSpaceDN w:val="0"/>
        <w:adjustRightInd w:val="0"/>
        <w:spacing w:line="360" w:lineRule="auto"/>
        <w:ind w:left="420" w:firstLine="0" w:firstLineChars="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E.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其他，请说明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</w:p>
    <w:p>
      <w:pPr>
        <w:pStyle w:val="25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企业希望与其他中央企业共同开展哪些领域的大数据应用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（可多选）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A.社会服务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B.农业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C.制造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D.能源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E.电信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F.交通运输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G.电子商务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H.金融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/>
          <w:bCs/>
          <w:kern w:val="0"/>
          <w:sz w:val="24"/>
          <w:szCs w:val="24"/>
        </w:rPr>
        <w:t>I</w:t>
      </w: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.科学研究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/>
          <w:bCs/>
          <w:kern w:val="0"/>
          <w:sz w:val="24"/>
          <w:szCs w:val="24"/>
        </w:rPr>
        <w:t>J.</w:t>
      </w: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旅游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/>
          <w:bCs/>
          <w:kern w:val="0"/>
          <w:sz w:val="24"/>
          <w:szCs w:val="24"/>
        </w:rPr>
        <w:t>K.</w:t>
      </w: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卫生医疗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/>
          <w:bCs/>
          <w:kern w:val="0"/>
          <w:sz w:val="24"/>
          <w:szCs w:val="24"/>
        </w:rPr>
        <w:t>L.</w:t>
      </w: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文化教育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/>
          <w:bCs/>
          <w:kern w:val="0"/>
          <w:sz w:val="24"/>
          <w:szCs w:val="24"/>
        </w:rPr>
        <w:t>M.</w:t>
      </w: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>建筑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kern w:val="0"/>
          <w:sz w:val="24"/>
          <w:szCs w:val="24"/>
        </w:rPr>
      </w:pPr>
      <w:r>
        <w:rPr>
          <w:rFonts w:asciiTheme="minorEastAsia" w:hAnsiTheme="minorEastAsia" w:cstheme="minorEastAsia"/>
          <w:bCs/>
          <w:kern w:val="0"/>
          <w:sz w:val="24"/>
          <w:szCs w:val="24"/>
        </w:rPr>
        <w:t>N.</w:t>
      </w:r>
      <w:r>
        <w:rPr>
          <w:rFonts w:hint="eastAsia" w:asciiTheme="minorEastAsia" w:hAnsiTheme="minorEastAsia" w:cstheme="minorEastAsia"/>
          <w:bCs/>
          <w:kern w:val="0"/>
          <w:sz w:val="24"/>
          <w:szCs w:val="24"/>
        </w:rPr>
        <w:t xml:space="preserve">其他，请说明 </w:t>
      </w:r>
      <w:r>
        <w:rPr>
          <w:rFonts w:hint="eastAsia" w:asciiTheme="minorEastAsia" w:hAnsiTheme="minorEastAsia" w:cstheme="minorEastAsia"/>
          <w:bCs/>
          <w:kern w:val="0"/>
          <w:sz w:val="24"/>
          <w:szCs w:val="24"/>
          <w:u w:val="single"/>
        </w:rPr>
        <w:t xml:space="preserve">                                     </w:t>
      </w:r>
    </w:p>
    <w:p>
      <w:pPr>
        <w:pStyle w:val="25"/>
        <w:tabs>
          <w:tab w:val="left" w:pos="993"/>
        </w:tabs>
        <w:autoSpaceDE w:val="0"/>
        <w:autoSpaceDN w:val="0"/>
        <w:adjustRightInd w:val="0"/>
        <w:spacing w:line="360" w:lineRule="auto"/>
        <w:ind w:left="420" w:firstLine="0" w:firstLineChars="0"/>
        <w:jc w:val="left"/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注：如有具体建议方案，可补充附件进行描述。</w:t>
      </w:r>
    </w:p>
    <w:p>
      <w:pPr>
        <w:outlineLvl w:val="0"/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十一、大数据产业</w:t>
      </w:r>
    </w:p>
    <w:p>
      <w:pPr>
        <w:pStyle w:val="25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企业专门对外提供大数据服务的下属公司名称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，从事大数据业务人员数量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人，大数据业务年营业额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万元，公司中大数据研发人员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人，简要介绍公司基本情况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（3</w:t>
      </w:r>
      <w:r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00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字）。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（如有多个大数据企业，请分别填写）</w:t>
      </w:r>
    </w:p>
    <w:p>
      <w:pPr>
        <w:pStyle w:val="25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企业下属大数据公司的主要盈利模式是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（可多选）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A.数据买卖（直接通过买卖数据取得收入）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B.信息服务（将数据隐含在信息服务中取得收入）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C.第三方数据服务（提供第三方数据服务取得收入）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D.融合服务（将数据隐含在传统产品及服务中取得收入）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E.软硬件销售及全套解决方案（通过提供大数据应用的软硬件取得收入）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F.其他，请说明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</w:t>
      </w:r>
    </w:p>
    <w:p>
      <w:pPr>
        <w:pStyle w:val="28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企业下属大数据公司主要提供哪些行业大数据应用产品和服务</w:t>
      </w:r>
    </w:p>
    <w:p>
      <w:pPr>
        <w:pStyle w:val="28"/>
        <w:tabs>
          <w:tab w:val="left" w:pos="993"/>
        </w:tabs>
        <w:spacing w:line="360" w:lineRule="auto"/>
        <w:ind w:left="840" w:firstLine="0" w:firstLineChars="0"/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（可多选）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A.社会服务，请简要描述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B.农业，请简要描述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C.制造，请简要描述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D.能源，请简要描述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E.电信，请简要描述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F.交通运输，请简要描述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G.电子商务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H.金融，请简要描述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.科学研究，请简要描述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J.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旅游，请简要描述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K.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卫生医疗，请简要描述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L.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文化教育，请简要描述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M.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化工，请简要描述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N.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建筑，请简要描述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2" w:firstLineChars="201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O.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其他，请说明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</w:t>
      </w:r>
    </w:p>
    <w:p>
      <w:pPr>
        <w:pStyle w:val="28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企业下属大数据公司主要提供哪些企业大数据应用产品和服务</w:t>
      </w:r>
    </w:p>
    <w:p>
      <w:pPr>
        <w:pStyle w:val="28"/>
        <w:tabs>
          <w:tab w:val="left" w:pos="993"/>
        </w:tabs>
        <w:spacing w:line="360" w:lineRule="auto"/>
        <w:ind w:left="840" w:firstLine="0" w:firstLineChars="0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（可多选）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A.风险控制，请简要描述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广告营销，请简要描述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产品开发，请简要描述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运营优化，请简要描述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E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人力资源，请简要描述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F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客户服务，请简要描述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G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安全监控，请简要描述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H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供应链管理，请简要描述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.舆情监控，请简要描述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J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.其它，请说明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</w:t>
      </w:r>
    </w:p>
    <w:p>
      <w:pPr>
        <w:pStyle w:val="28"/>
        <w:numPr>
          <w:ilvl w:val="1"/>
          <w:numId w:val="1"/>
        </w:numPr>
        <w:tabs>
          <w:tab w:val="left" w:pos="993"/>
        </w:tabs>
        <w:spacing w:line="360" w:lineRule="auto"/>
        <w:ind w:left="0" w:firstLine="420" w:firstLineChars="0"/>
        <w:outlineLvl w:val="1"/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企业下属大数据公司的主要技术优势在哪些方面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（可多选）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A.数据可视化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B.数据分析挖掘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C.数据存储</w:t>
      </w:r>
    </w:p>
    <w:p>
      <w:pPr>
        <w:autoSpaceDE w:val="0"/>
        <w:autoSpaceDN w:val="0"/>
        <w:adjustRightInd w:val="0"/>
        <w:spacing w:line="360" w:lineRule="auto"/>
        <w:ind w:left="48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D.数据预处理</w:t>
      </w:r>
    </w:p>
    <w:p>
      <w:pPr>
        <w:autoSpaceDE w:val="0"/>
        <w:autoSpaceDN w:val="0"/>
        <w:adjustRightInd w:val="0"/>
        <w:spacing w:line="360" w:lineRule="auto"/>
        <w:ind w:left="48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E.数据采集</w:t>
      </w:r>
    </w:p>
    <w:p>
      <w:pPr>
        <w:autoSpaceDE w:val="0"/>
        <w:autoSpaceDN w:val="0"/>
        <w:adjustRightInd w:val="0"/>
        <w:spacing w:line="360" w:lineRule="auto"/>
        <w:ind w:left="480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F.其它，请说明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Theme="minorEastAsia" w:hAnsiTheme="minorEastAsia" w:cstheme="minorEastAsia"/>
          <w:bCs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</w:p>
    <w:p>
      <w:pPr>
        <w:widowControl/>
        <w:jc w:val="left"/>
        <w:rPr>
          <w:rFonts w:ascii="方正小标宋简体" w:hAnsi="方正小标宋简体" w:eastAsia="方正小标宋简体" w:cs="方正小标宋简体"/>
          <w:color w:val="000000" w:themeColor="text1"/>
          <w:kern w:val="44"/>
          <w:sz w:val="40"/>
          <w:szCs w:val="44"/>
          <w14:textFill>
            <w14:solidFill>
              <w14:schemeClr w14:val="tx1"/>
            </w14:solidFill>
          </w14:textFill>
        </w:rPr>
      </w:pPr>
      <w:r>
        <w:rPr>
          <w:rFonts w:ascii="方正小标宋简体" w:hAnsi="方正小标宋简体" w:eastAsia="方正小标宋简体" w:cs="方正小标宋简体"/>
          <w:b/>
          <w:bCs/>
          <w:color w:val="000000" w:themeColor="text1"/>
          <w:sz w:val="40"/>
          <w14:textFill>
            <w14:solidFill>
              <w14:schemeClr w14:val="tx1"/>
            </w14:solidFill>
          </w14:textFill>
        </w:rPr>
        <w:br w:type="page"/>
      </w:r>
    </w:p>
    <w:p>
      <w:pPr>
        <w:pStyle w:val="2"/>
        <w:spacing w:before="0" w:after="312" w:afterLines="100" w:line="56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color w:val="000000" w:themeColor="text1"/>
          <w:sz w:val="40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0"/>
          <w14:textFill>
            <w14:solidFill>
              <w14:schemeClr w14:val="tx1"/>
            </w14:solidFill>
          </w14:textFill>
        </w:rPr>
        <w:t>第三部分 中央企业数据资产情况</w:t>
      </w:r>
    </w:p>
    <w:p>
      <w:pPr>
        <w:pStyle w:val="25"/>
        <w:tabs>
          <w:tab w:val="left" w:pos="993"/>
        </w:tabs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cs="Times New Roman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中央企业数据资产目录表（附件Excel表）。</w:t>
      </w:r>
    </w:p>
    <w:sectPr>
      <w:footerReference r:id="rId9" w:type="first"/>
      <w:footerReference r:id="rId8" w:type="default"/>
      <w:type w:val="continuous"/>
      <w:pgSz w:w="11906" w:h="16838"/>
      <w:pgMar w:top="1440" w:right="1800" w:bottom="1440" w:left="1800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721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zql5&#10;uc8AAAAFAQAADwAAAAAAAAABACAAAAAiAAAAZHJzL2Rvd25yZXYueG1sUEsBAhQAFAAAAAgAh07i&#10;QL4t8fq5AQAAVwMAAA4AAAAAAAAAAQAgAAAAHg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31084896"/>
      <w:docPartObj>
        <w:docPartGallery w:val="autotext"/>
      </w:docPartObj>
    </w:sdtPr>
    <w:sdtContent>
      <w:p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10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3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M6p&#10;ebnPAAAABQEAAA8AAAAAAAAAAQAgAAAAIgAAAGRycy9kb3ducmV2LnhtbFBLAQIUABQAAAAIAIdO&#10;4kC+DBQMugEAAFcDAAAOAAAAAAAAAAEAIAAAAB4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05249365"/>
      <w:docPartObj>
        <w:docPartGallery w:val="autotext"/>
      </w:docPartObj>
    </w:sdtPr>
    <w:sdtContent>
      <w:p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9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M6p&#10;ebnPAAAABQEAAA8AAAAAAAAAAQAgAAAAIgAAAGRycy9kb3ducmV2LnhtbFBLAQIUABQAAAAIAIdO&#10;4kB6+LFOugEAAFcDAAAOAAAAAAAAAAEAIAAAAB4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60793"/>
    <w:multiLevelType w:val="multilevel"/>
    <w:tmpl w:val="16F60793"/>
    <w:lvl w:ilvl="0" w:tentative="0">
      <w:start w:val="1"/>
      <w:numFmt w:val="decimal"/>
      <w:lvlText w:val="Q%1."/>
      <w:lvlJc w:val="left"/>
      <w:pPr>
        <w:ind w:left="902" w:hanging="420"/>
      </w:pPr>
      <w:rPr>
        <w:rFonts w:hint="default" w:asciiTheme="minorEastAsia" w:eastAsiaTheme="minorEastAsia"/>
      </w:rPr>
    </w:lvl>
    <w:lvl w:ilvl="1" w:tentative="0">
      <w:start w:val="1"/>
      <w:numFmt w:val="decimal"/>
      <w:lvlText w:val="Q%2."/>
      <w:lvlJc w:val="left"/>
      <w:pPr>
        <w:ind w:left="840" w:hanging="420"/>
      </w:pPr>
      <w:rPr>
        <w:rFonts w:hint="default" w:asciiTheme="minorEastAsia" w:eastAsiaTheme="minorEastAsia"/>
        <w:b/>
        <w:i w:val="0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0EF"/>
    <w:rsid w:val="00001D15"/>
    <w:rsid w:val="00005437"/>
    <w:rsid w:val="0001668E"/>
    <w:rsid w:val="0002302C"/>
    <w:rsid w:val="00024103"/>
    <w:rsid w:val="000273F8"/>
    <w:rsid w:val="00036BF9"/>
    <w:rsid w:val="00037CFF"/>
    <w:rsid w:val="00043042"/>
    <w:rsid w:val="00045754"/>
    <w:rsid w:val="0004584C"/>
    <w:rsid w:val="00054C2F"/>
    <w:rsid w:val="0006264C"/>
    <w:rsid w:val="00064E1D"/>
    <w:rsid w:val="00065FB0"/>
    <w:rsid w:val="000705D9"/>
    <w:rsid w:val="00070E2D"/>
    <w:rsid w:val="000855D0"/>
    <w:rsid w:val="00092465"/>
    <w:rsid w:val="000A14C4"/>
    <w:rsid w:val="000A4698"/>
    <w:rsid w:val="000B1CCA"/>
    <w:rsid w:val="000B310E"/>
    <w:rsid w:val="000C2BC1"/>
    <w:rsid w:val="000C5FF0"/>
    <w:rsid w:val="000C6DD0"/>
    <w:rsid w:val="000D29C7"/>
    <w:rsid w:val="000D5155"/>
    <w:rsid w:val="000D6586"/>
    <w:rsid w:val="000D738C"/>
    <w:rsid w:val="000E212F"/>
    <w:rsid w:val="000E745C"/>
    <w:rsid w:val="000F0F73"/>
    <w:rsid w:val="000F4B9E"/>
    <w:rsid w:val="000F5AD9"/>
    <w:rsid w:val="000F75F0"/>
    <w:rsid w:val="0010183D"/>
    <w:rsid w:val="00107048"/>
    <w:rsid w:val="00113413"/>
    <w:rsid w:val="001250CE"/>
    <w:rsid w:val="00125607"/>
    <w:rsid w:val="0012623C"/>
    <w:rsid w:val="00126463"/>
    <w:rsid w:val="00127A98"/>
    <w:rsid w:val="00127B45"/>
    <w:rsid w:val="00134F06"/>
    <w:rsid w:val="00137F07"/>
    <w:rsid w:val="00143F73"/>
    <w:rsid w:val="00151EF9"/>
    <w:rsid w:val="00154DAF"/>
    <w:rsid w:val="00155831"/>
    <w:rsid w:val="00161A5A"/>
    <w:rsid w:val="00163DE3"/>
    <w:rsid w:val="00164E34"/>
    <w:rsid w:val="00165D04"/>
    <w:rsid w:val="001729E8"/>
    <w:rsid w:val="00172A9E"/>
    <w:rsid w:val="00173024"/>
    <w:rsid w:val="001819BC"/>
    <w:rsid w:val="00181E6A"/>
    <w:rsid w:val="00186FD7"/>
    <w:rsid w:val="00187164"/>
    <w:rsid w:val="00187E11"/>
    <w:rsid w:val="001957C6"/>
    <w:rsid w:val="001A18F5"/>
    <w:rsid w:val="001A23E4"/>
    <w:rsid w:val="001A4409"/>
    <w:rsid w:val="001A4446"/>
    <w:rsid w:val="001A566A"/>
    <w:rsid w:val="001A58DC"/>
    <w:rsid w:val="001A66AE"/>
    <w:rsid w:val="001A75E2"/>
    <w:rsid w:val="001C2987"/>
    <w:rsid w:val="001D60B1"/>
    <w:rsid w:val="001E00EF"/>
    <w:rsid w:val="001E485F"/>
    <w:rsid w:val="001E4BC6"/>
    <w:rsid w:val="001E63D6"/>
    <w:rsid w:val="001F0CC2"/>
    <w:rsid w:val="00201474"/>
    <w:rsid w:val="0020221E"/>
    <w:rsid w:val="002079AF"/>
    <w:rsid w:val="00211415"/>
    <w:rsid w:val="00211E64"/>
    <w:rsid w:val="002137DD"/>
    <w:rsid w:val="00222D83"/>
    <w:rsid w:val="002335CD"/>
    <w:rsid w:val="00236855"/>
    <w:rsid w:val="00241953"/>
    <w:rsid w:val="002444FC"/>
    <w:rsid w:val="00253235"/>
    <w:rsid w:val="0025543F"/>
    <w:rsid w:val="002601D1"/>
    <w:rsid w:val="002621C7"/>
    <w:rsid w:val="00262F1D"/>
    <w:rsid w:val="002643D4"/>
    <w:rsid w:val="002728ED"/>
    <w:rsid w:val="00273A5B"/>
    <w:rsid w:val="002749DB"/>
    <w:rsid w:val="0027524E"/>
    <w:rsid w:val="002771A6"/>
    <w:rsid w:val="00281340"/>
    <w:rsid w:val="0028191B"/>
    <w:rsid w:val="002826B7"/>
    <w:rsid w:val="00283055"/>
    <w:rsid w:val="00285386"/>
    <w:rsid w:val="00286632"/>
    <w:rsid w:val="00287221"/>
    <w:rsid w:val="00290A80"/>
    <w:rsid w:val="00295AB7"/>
    <w:rsid w:val="002970FB"/>
    <w:rsid w:val="002A4068"/>
    <w:rsid w:val="002B10D9"/>
    <w:rsid w:val="002B4C24"/>
    <w:rsid w:val="002B6859"/>
    <w:rsid w:val="002B6D16"/>
    <w:rsid w:val="002B761B"/>
    <w:rsid w:val="002B7E71"/>
    <w:rsid w:val="002C3380"/>
    <w:rsid w:val="002D20EC"/>
    <w:rsid w:val="002E03DD"/>
    <w:rsid w:val="002E0C6E"/>
    <w:rsid w:val="002F3031"/>
    <w:rsid w:val="002F4ECC"/>
    <w:rsid w:val="002F5072"/>
    <w:rsid w:val="002F6FE8"/>
    <w:rsid w:val="0030358F"/>
    <w:rsid w:val="00305E6C"/>
    <w:rsid w:val="003140C3"/>
    <w:rsid w:val="00314CDA"/>
    <w:rsid w:val="003244B4"/>
    <w:rsid w:val="00327A45"/>
    <w:rsid w:val="00333A20"/>
    <w:rsid w:val="00337178"/>
    <w:rsid w:val="003408B3"/>
    <w:rsid w:val="00346D9F"/>
    <w:rsid w:val="0034741E"/>
    <w:rsid w:val="00355590"/>
    <w:rsid w:val="00361F75"/>
    <w:rsid w:val="00362004"/>
    <w:rsid w:val="0036450D"/>
    <w:rsid w:val="00366878"/>
    <w:rsid w:val="003716A4"/>
    <w:rsid w:val="00373FC8"/>
    <w:rsid w:val="003753E9"/>
    <w:rsid w:val="00381414"/>
    <w:rsid w:val="00384DD7"/>
    <w:rsid w:val="003920FA"/>
    <w:rsid w:val="00394375"/>
    <w:rsid w:val="00395D7B"/>
    <w:rsid w:val="003972F5"/>
    <w:rsid w:val="003975FE"/>
    <w:rsid w:val="00397B64"/>
    <w:rsid w:val="003A3540"/>
    <w:rsid w:val="003A3869"/>
    <w:rsid w:val="003A5E65"/>
    <w:rsid w:val="003B0200"/>
    <w:rsid w:val="003B2090"/>
    <w:rsid w:val="003B2F9D"/>
    <w:rsid w:val="003B626D"/>
    <w:rsid w:val="003B7CD6"/>
    <w:rsid w:val="003C528D"/>
    <w:rsid w:val="003C64DB"/>
    <w:rsid w:val="003D074F"/>
    <w:rsid w:val="003D317E"/>
    <w:rsid w:val="003D3311"/>
    <w:rsid w:val="003E031D"/>
    <w:rsid w:val="003E4780"/>
    <w:rsid w:val="003E79A5"/>
    <w:rsid w:val="003E7FB5"/>
    <w:rsid w:val="003F3C46"/>
    <w:rsid w:val="00401880"/>
    <w:rsid w:val="00401DDB"/>
    <w:rsid w:val="00403894"/>
    <w:rsid w:val="00404319"/>
    <w:rsid w:val="004164DD"/>
    <w:rsid w:val="004178E4"/>
    <w:rsid w:val="00421F7B"/>
    <w:rsid w:val="004301FD"/>
    <w:rsid w:val="004307F3"/>
    <w:rsid w:val="00433AC9"/>
    <w:rsid w:val="00435B71"/>
    <w:rsid w:val="004406DB"/>
    <w:rsid w:val="00441109"/>
    <w:rsid w:val="00450098"/>
    <w:rsid w:val="004603BE"/>
    <w:rsid w:val="00460C7D"/>
    <w:rsid w:val="004725D5"/>
    <w:rsid w:val="00472B0C"/>
    <w:rsid w:val="004826B4"/>
    <w:rsid w:val="00486655"/>
    <w:rsid w:val="00487ACA"/>
    <w:rsid w:val="004919C0"/>
    <w:rsid w:val="004931A2"/>
    <w:rsid w:val="00493E71"/>
    <w:rsid w:val="004940EB"/>
    <w:rsid w:val="004A2EC3"/>
    <w:rsid w:val="004B319E"/>
    <w:rsid w:val="004C1B81"/>
    <w:rsid w:val="004C2E9A"/>
    <w:rsid w:val="004C3476"/>
    <w:rsid w:val="004C3656"/>
    <w:rsid w:val="004C75B1"/>
    <w:rsid w:val="004D40AD"/>
    <w:rsid w:val="004D4135"/>
    <w:rsid w:val="004D7D9E"/>
    <w:rsid w:val="004E11DA"/>
    <w:rsid w:val="004E468F"/>
    <w:rsid w:val="004E5BCD"/>
    <w:rsid w:val="004F0B37"/>
    <w:rsid w:val="004F156C"/>
    <w:rsid w:val="004F28B4"/>
    <w:rsid w:val="004F50A1"/>
    <w:rsid w:val="00503B1A"/>
    <w:rsid w:val="00505404"/>
    <w:rsid w:val="00517C18"/>
    <w:rsid w:val="00523322"/>
    <w:rsid w:val="005275FE"/>
    <w:rsid w:val="00527DAB"/>
    <w:rsid w:val="00527F3C"/>
    <w:rsid w:val="00532FA4"/>
    <w:rsid w:val="00554221"/>
    <w:rsid w:val="00566740"/>
    <w:rsid w:val="00567C27"/>
    <w:rsid w:val="00577BC6"/>
    <w:rsid w:val="00577F28"/>
    <w:rsid w:val="00580495"/>
    <w:rsid w:val="00581261"/>
    <w:rsid w:val="00582020"/>
    <w:rsid w:val="00584257"/>
    <w:rsid w:val="005902AC"/>
    <w:rsid w:val="00590572"/>
    <w:rsid w:val="0059265F"/>
    <w:rsid w:val="0059774E"/>
    <w:rsid w:val="00597AE5"/>
    <w:rsid w:val="005A223E"/>
    <w:rsid w:val="005A538D"/>
    <w:rsid w:val="005B16FE"/>
    <w:rsid w:val="005B7BBA"/>
    <w:rsid w:val="005C3806"/>
    <w:rsid w:val="005C3C48"/>
    <w:rsid w:val="005C4B94"/>
    <w:rsid w:val="005D22EA"/>
    <w:rsid w:val="005D3495"/>
    <w:rsid w:val="005D3C4A"/>
    <w:rsid w:val="005D4E28"/>
    <w:rsid w:val="005D59AD"/>
    <w:rsid w:val="005E1EE4"/>
    <w:rsid w:val="005E3292"/>
    <w:rsid w:val="005F6CD4"/>
    <w:rsid w:val="00606BD9"/>
    <w:rsid w:val="00611894"/>
    <w:rsid w:val="00614956"/>
    <w:rsid w:val="00623EBF"/>
    <w:rsid w:val="00626EC8"/>
    <w:rsid w:val="0063114A"/>
    <w:rsid w:val="006324A8"/>
    <w:rsid w:val="00634144"/>
    <w:rsid w:val="00645241"/>
    <w:rsid w:val="00645F1A"/>
    <w:rsid w:val="006462F8"/>
    <w:rsid w:val="006467E8"/>
    <w:rsid w:val="0065787B"/>
    <w:rsid w:val="00662721"/>
    <w:rsid w:val="006644CA"/>
    <w:rsid w:val="00664505"/>
    <w:rsid w:val="00666418"/>
    <w:rsid w:val="00670878"/>
    <w:rsid w:val="006809DE"/>
    <w:rsid w:val="006830E3"/>
    <w:rsid w:val="006831DC"/>
    <w:rsid w:val="00683255"/>
    <w:rsid w:val="00684963"/>
    <w:rsid w:val="00685948"/>
    <w:rsid w:val="00687C50"/>
    <w:rsid w:val="00695547"/>
    <w:rsid w:val="006956B9"/>
    <w:rsid w:val="006A4843"/>
    <w:rsid w:val="006A5388"/>
    <w:rsid w:val="006A7B60"/>
    <w:rsid w:val="006C0136"/>
    <w:rsid w:val="006C1512"/>
    <w:rsid w:val="006C54F2"/>
    <w:rsid w:val="006C5AD1"/>
    <w:rsid w:val="006C670E"/>
    <w:rsid w:val="006D4E12"/>
    <w:rsid w:val="006E75A4"/>
    <w:rsid w:val="006F5E51"/>
    <w:rsid w:val="006F7BCE"/>
    <w:rsid w:val="0070239F"/>
    <w:rsid w:val="007026EA"/>
    <w:rsid w:val="00702BBB"/>
    <w:rsid w:val="00702D27"/>
    <w:rsid w:val="00706389"/>
    <w:rsid w:val="00706583"/>
    <w:rsid w:val="00710F69"/>
    <w:rsid w:val="00712F5E"/>
    <w:rsid w:val="00714447"/>
    <w:rsid w:val="00721507"/>
    <w:rsid w:val="00724C25"/>
    <w:rsid w:val="007272F9"/>
    <w:rsid w:val="007275E7"/>
    <w:rsid w:val="00732CA7"/>
    <w:rsid w:val="00742569"/>
    <w:rsid w:val="00747D70"/>
    <w:rsid w:val="0075041E"/>
    <w:rsid w:val="00751261"/>
    <w:rsid w:val="007709E2"/>
    <w:rsid w:val="00776978"/>
    <w:rsid w:val="007825C1"/>
    <w:rsid w:val="007863A3"/>
    <w:rsid w:val="007868C1"/>
    <w:rsid w:val="0079366E"/>
    <w:rsid w:val="00794290"/>
    <w:rsid w:val="0079669F"/>
    <w:rsid w:val="007A6E28"/>
    <w:rsid w:val="007A6E9A"/>
    <w:rsid w:val="007B0443"/>
    <w:rsid w:val="007B218C"/>
    <w:rsid w:val="007B275F"/>
    <w:rsid w:val="007C0456"/>
    <w:rsid w:val="007C1786"/>
    <w:rsid w:val="007D71A2"/>
    <w:rsid w:val="007D7405"/>
    <w:rsid w:val="007D7E72"/>
    <w:rsid w:val="007E1225"/>
    <w:rsid w:val="007E2BD8"/>
    <w:rsid w:val="007F1896"/>
    <w:rsid w:val="007F1CFF"/>
    <w:rsid w:val="007F25CD"/>
    <w:rsid w:val="007F3AB9"/>
    <w:rsid w:val="007F497E"/>
    <w:rsid w:val="007F4C05"/>
    <w:rsid w:val="007F4C21"/>
    <w:rsid w:val="007F6D52"/>
    <w:rsid w:val="00800A27"/>
    <w:rsid w:val="008013F8"/>
    <w:rsid w:val="008040E8"/>
    <w:rsid w:val="008049B3"/>
    <w:rsid w:val="00812BC8"/>
    <w:rsid w:val="00815842"/>
    <w:rsid w:val="0082199A"/>
    <w:rsid w:val="0082254C"/>
    <w:rsid w:val="0082480F"/>
    <w:rsid w:val="0082582A"/>
    <w:rsid w:val="00835847"/>
    <w:rsid w:val="008362F9"/>
    <w:rsid w:val="00845493"/>
    <w:rsid w:val="00846275"/>
    <w:rsid w:val="008477C4"/>
    <w:rsid w:val="008503A1"/>
    <w:rsid w:val="00852420"/>
    <w:rsid w:val="00852B22"/>
    <w:rsid w:val="00855D4E"/>
    <w:rsid w:val="00856788"/>
    <w:rsid w:val="00860945"/>
    <w:rsid w:val="008622B6"/>
    <w:rsid w:val="00862416"/>
    <w:rsid w:val="00865D69"/>
    <w:rsid w:val="0087573A"/>
    <w:rsid w:val="00875B49"/>
    <w:rsid w:val="00880766"/>
    <w:rsid w:val="008819F7"/>
    <w:rsid w:val="00884181"/>
    <w:rsid w:val="00884A90"/>
    <w:rsid w:val="00884B1C"/>
    <w:rsid w:val="008864FD"/>
    <w:rsid w:val="00886C8D"/>
    <w:rsid w:val="008904EB"/>
    <w:rsid w:val="008A5C70"/>
    <w:rsid w:val="008B0128"/>
    <w:rsid w:val="008B41F8"/>
    <w:rsid w:val="008B7381"/>
    <w:rsid w:val="008C0E2D"/>
    <w:rsid w:val="008C2EC1"/>
    <w:rsid w:val="008C37F9"/>
    <w:rsid w:val="008C4CA7"/>
    <w:rsid w:val="008C5C8E"/>
    <w:rsid w:val="008D0DDC"/>
    <w:rsid w:val="008D4648"/>
    <w:rsid w:val="008D64D2"/>
    <w:rsid w:val="008D6B91"/>
    <w:rsid w:val="008E237A"/>
    <w:rsid w:val="008E27BF"/>
    <w:rsid w:val="008E7367"/>
    <w:rsid w:val="008F3E56"/>
    <w:rsid w:val="008F4E1D"/>
    <w:rsid w:val="00901226"/>
    <w:rsid w:val="00901F0B"/>
    <w:rsid w:val="0091007F"/>
    <w:rsid w:val="00911299"/>
    <w:rsid w:val="00914BF1"/>
    <w:rsid w:val="00927079"/>
    <w:rsid w:val="00941711"/>
    <w:rsid w:val="009420F1"/>
    <w:rsid w:val="00946925"/>
    <w:rsid w:val="00947CCF"/>
    <w:rsid w:val="00950CCC"/>
    <w:rsid w:val="00952DBF"/>
    <w:rsid w:val="00957FA9"/>
    <w:rsid w:val="009621CA"/>
    <w:rsid w:val="00962A34"/>
    <w:rsid w:val="0096718B"/>
    <w:rsid w:val="00970FAD"/>
    <w:rsid w:val="0097303B"/>
    <w:rsid w:val="00973949"/>
    <w:rsid w:val="00975EFF"/>
    <w:rsid w:val="00990218"/>
    <w:rsid w:val="009902FD"/>
    <w:rsid w:val="00990420"/>
    <w:rsid w:val="00991BAE"/>
    <w:rsid w:val="00993447"/>
    <w:rsid w:val="00995C6F"/>
    <w:rsid w:val="009A3AF6"/>
    <w:rsid w:val="009B1202"/>
    <w:rsid w:val="009B655C"/>
    <w:rsid w:val="009C58FE"/>
    <w:rsid w:val="009D56B8"/>
    <w:rsid w:val="009E01D1"/>
    <w:rsid w:val="009E1F37"/>
    <w:rsid w:val="009E7579"/>
    <w:rsid w:val="009E7F52"/>
    <w:rsid w:val="009F1A64"/>
    <w:rsid w:val="009F2B22"/>
    <w:rsid w:val="009F387D"/>
    <w:rsid w:val="009F4927"/>
    <w:rsid w:val="00A0354C"/>
    <w:rsid w:val="00A05046"/>
    <w:rsid w:val="00A0645C"/>
    <w:rsid w:val="00A16D48"/>
    <w:rsid w:val="00A24C01"/>
    <w:rsid w:val="00A31E2E"/>
    <w:rsid w:val="00A32D3B"/>
    <w:rsid w:val="00A33055"/>
    <w:rsid w:val="00A334ED"/>
    <w:rsid w:val="00A34AA8"/>
    <w:rsid w:val="00A438FD"/>
    <w:rsid w:val="00A47B70"/>
    <w:rsid w:val="00A50629"/>
    <w:rsid w:val="00A50881"/>
    <w:rsid w:val="00A50ACA"/>
    <w:rsid w:val="00A50D05"/>
    <w:rsid w:val="00A61FBF"/>
    <w:rsid w:val="00A714FC"/>
    <w:rsid w:val="00A83956"/>
    <w:rsid w:val="00A8576F"/>
    <w:rsid w:val="00A91F39"/>
    <w:rsid w:val="00AA3E58"/>
    <w:rsid w:val="00AA7924"/>
    <w:rsid w:val="00AA79F1"/>
    <w:rsid w:val="00AB1D51"/>
    <w:rsid w:val="00AB2918"/>
    <w:rsid w:val="00AB4556"/>
    <w:rsid w:val="00AB755D"/>
    <w:rsid w:val="00AB7BAB"/>
    <w:rsid w:val="00AD44D8"/>
    <w:rsid w:val="00AD5B90"/>
    <w:rsid w:val="00AE0A43"/>
    <w:rsid w:val="00AE17C8"/>
    <w:rsid w:val="00B00768"/>
    <w:rsid w:val="00B12F01"/>
    <w:rsid w:val="00B134E6"/>
    <w:rsid w:val="00B1715A"/>
    <w:rsid w:val="00B235C9"/>
    <w:rsid w:val="00B3103F"/>
    <w:rsid w:val="00B316D5"/>
    <w:rsid w:val="00B32EB0"/>
    <w:rsid w:val="00B37671"/>
    <w:rsid w:val="00B4084A"/>
    <w:rsid w:val="00B4209E"/>
    <w:rsid w:val="00B47005"/>
    <w:rsid w:val="00B51DAD"/>
    <w:rsid w:val="00B57A83"/>
    <w:rsid w:val="00B6167B"/>
    <w:rsid w:val="00B61C50"/>
    <w:rsid w:val="00B6566F"/>
    <w:rsid w:val="00B6687C"/>
    <w:rsid w:val="00B67B94"/>
    <w:rsid w:val="00B70AE3"/>
    <w:rsid w:val="00B71941"/>
    <w:rsid w:val="00B72776"/>
    <w:rsid w:val="00B80B04"/>
    <w:rsid w:val="00BA427F"/>
    <w:rsid w:val="00BB498A"/>
    <w:rsid w:val="00BB7761"/>
    <w:rsid w:val="00BC0F00"/>
    <w:rsid w:val="00BC1121"/>
    <w:rsid w:val="00BC22BF"/>
    <w:rsid w:val="00BC50D4"/>
    <w:rsid w:val="00BD2D62"/>
    <w:rsid w:val="00BD76CD"/>
    <w:rsid w:val="00BE25A1"/>
    <w:rsid w:val="00BE768D"/>
    <w:rsid w:val="00BF1A22"/>
    <w:rsid w:val="00BF206A"/>
    <w:rsid w:val="00BF308B"/>
    <w:rsid w:val="00BF4A12"/>
    <w:rsid w:val="00BF647E"/>
    <w:rsid w:val="00C04760"/>
    <w:rsid w:val="00C102CD"/>
    <w:rsid w:val="00C10CC8"/>
    <w:rsid w:val="00C1198E"/>
    <w:rsid w:val="00C12420"/>
    <w:rsid w:val="00C1311B"/>
    <w:rsid w:val="00C1330E"/>
    <w:rsid w:val="00C13D70"/>
    <w:rsid w:val="00C22DF2"/>
    <w:rsid w:val="00C23FAC"/>
    <w:rsid w:val="00C26F08"/>
    <w:rsid w:val="00C31136"/>
    <w:rsid w:val="00C36F22"/>
    <w:rsid w:val="00C46966"/>
    <w:rsid w:val="00C4765C"/>
    <w:rsid w:val="00C50DF8"/>
    <w:rsid w:val="00C516BA"/>
    <w:rsid w:val="00C54322"/>
    <w:rsid w:val="00C54A20"/>
    <w:rsid w:val="00C561AC"/>
    <w:rsid w:val="00C700A0"/>
    <w:rsid w:val="00C70387"/>
    <w:rsid w:val="00C8071E"/>
    <w:rsid w:val="00C832A5"/>
    <w:rsid w:val="00CA5172"/>
    <w:rsid w:val="00CA5D59"/>
    <w:rsid w:val="00CA7339"/>
    <w:rsid w:val="00CB5F8B"/>
    <w:rsid w:val="00CC3B6F"/>
    <w:rsid w:val="00CC44B8"/>
    <w:rsid w:val="00CE26EC"/>
    <w:rsid w:val="00CE6D2A"/>
    <w:rsid w:val="00CE7156"/>
    <w:rsid w:val="00CF004B"/>
    <w:rsid w:val="00CF1017"/>
    <w:rsid w:val="00D02E55"/>
    <w:rsid w:val="00D069A1"/>
    <w:rsid w:val="00D06EF7"/>
    <w:rsid w:val="00D11F65"/>
    <w:rsid w:val="00D1357A"/>
    <w:rsid w:val="00D15435"/>
    <w:rsid w:val="00D15630"/>
    <w:rsid w:val="00D22030"/>
    <w:rsid w:val="00D25012"/>
    <w:rsid w:val="00D2697D"/>
    <w:rsid w:val="00D269E1"/>
    <w:rsid w:val="00D3526B"/>
    <w:rsid w:val="00D35537"/>
    <w:rsid w:val="00D35CF6"/>
    <w:rsid w:val="00D44C05"/>
    <w:rsid w:val="00D46481"/>
    <w:rsid w:val="00D4756C"/>
    <w:rsid w:val="00D50B1E"/>
    <w:rsid w:val="00D53C83"/>
    <w:rsid w:val="00D56E36"/>
    <w:rsid w:val="00D605FD"/>
    <w:rsid w:val="00D62B3B"/>
    <w:rsid w:val="00D64D74"/>
    <w:rsid w:val="00D670F8"/>
    <w:rsid w:val="00D72BE2"/>
    <w:rsid w:val="00D77B24"/>
    <w:rsid w:val="00D842FF"/>
    <w:rsid w:val="00D917CF"/>
    <w:rsid w:val="00D92507"/>
    <w:rsid w:val="00D95E27"/>
    <w:rsid w:val="00DA0B4B"/>
    <w:rsid w:val="00DA2052"/>
    <w:rsid w:val="00DA2056"/>
    <w:rsid w:val="00DA3962"/>
    <w:rsid w:val="00DA57CE"/>
    <w:rsid w:val="00DA5B93"/>
    <w:rsid w:val="00DB5EEE"/>
    <w:rsid w:val="00DC038C"/>
    <w:rsid w:val="00DC2A6F"/>
    <w:rsid w:val="00DC68F6"/>
    <w:rsid w:val="00DD0191"/>
    <w:rsid w:val="00DD18EC"/>
    <w:rsid w:val="00DD3CE4"/>
    <w:rsid w:val="00DD5DCB"/>
    <w:rsid w:val="00DD7F31"/>
    <w:rsid w:val="00DE1603"/>
    <w:rsid w:val="00DE1660"/>
    <w:rsid w:val="00DE6C63"/>
    <w:rsid w:val="00DF5342"/>
    <w:rsid w:val="00DF722D"/>
    <w:rsid w:val="00E01ED1"/>
    <w:rsid w:val="00E04671"/>
    <w:rsid w:val="00E06327"/>
    <w:rsid w:val="00E1264E"/>
    <w:rsid w:val="00E14262"/>
    <w:rsid w:val="00E15DC0"/>
    <w:rsid w:val="00E2058F"/>
    <w:rsid w:val="00E21301"/>
    <w:rsid w:val="00E219B4"/>
    <w:rsid w:val="00E233C9"/>
    <w:rsid w:val="00E2538F"/>
    <w:rsid w:val="00E25EDF"/>
    <w:rsid w:val="00E31224"/>
    <w:rsid w:val="00E33382"/>
    <w:rsid w:val="00E40185"/>
    <w:rsid w:val="00E42AE1"/>
    <w:rsid w:val="00E47774"/>
    <w:rsid w:val="00E5138B"/>
    <w:rsid w:val="00E52D38"/>
    <w:rsid w:val="00E552EE"/>
    <w:rsid w:val="00E57AEA"/>
    <w:rsid w:val="00E6061A"/>
    <w:rsid w:val="00E62D2E"/>
    <w:rsid w:val="00E67402"/>
    <w:rsid w:val="00E70424"/>
    <w:rsid w:val="00E71C6C"/>
    <w:rsid w:val="00E72868"/>
    <w:rsid w:val="00E73B7F"/>
    <w:rsid w:val="00E82BC6"/>
    <w:rsid w:val="00E83DA4"/>
    <w:rsid w:val="00E900A4"/>
    <w:rsid w:val="00E9234B"/>
    <w:rsid w:val="00E97510"/>
    <w:rsid w:val="00EA4488"/>
    <w:rsid w:val="00EA6767"/>
    <w:rsid w:val="00EA7A0F"/>
    <w:rsid w:val="00EB18AF"/>
    <w:rsid w:val="00EB325A"/>
    <w:rsid w:val="00EB5941"/>
    <w:rsid w:val="00EB699A"/>
    <w:rsid w:val="00EC42BD"/>
    <w:rsid w:val="00EC65AD"/>
    <w:rsid w:val="00EC6AFC"/>
    <w:rsid w:val="00ED215F"/>
    <w:rsid w:val="00EE3011"/>
    <w:rsid w:val="00EE30C0"/>
    <w:rsid w:val="00EE3E17"/>
    <w:rsid w:val="00EF0AF7"/>
    <w:rsid w:val="00EF1CFD"/>
    <w:rsid w:val="00EF1FEB"/>
    <w:rsid w:val="00EF6E8D"/>
    <w:rsid w:val="00EF7289"/>
    <w:rsid w:val="00F00623"/>
    <w:rsid w:val="00F038B8"/>
    <w:rsid w:val="00F0655B"/>
    <w:rsid w:val="00F131C2"/>
    <w:rsid w:val="00F2111C"/>
    <w:rsid w:val="00F41410"/>
    <w:rsid w:val="00F47716"/>
    <w:rsid w:val="00F52CE6"/>
    <w:rsid w:val="00F5583E"/>
    <w:rsid w:val="00F6399C"/>
    <w:rsid w:val="00F7072E"/>
    <w:rsid w:val="00F72379"/>
    <w:rsid w:val="00F75446"/>
    <w:rsid w:val="00F80281"/>
    <w:rsid w:val="00F8128E"/>
    <w:rsid w:val="00F84C0D"/>
    <w:rsid w:val="00F87B4D"/>
    <w:rsid w:val="00F905A2"/>
    <w:rsid w:val="00F91FF7"/>
    <w:rsid w:val="00F940F1"/>
    <w:rsid w:val="00FA10C9"/>
    <w:rsid w:val="00FA6342"/>
    <w:rsid w:val="00FA7E8F"/>
    <w:rsid w:val="00FB2B44"/>
    <w:rsid w:val="00FB6E87"/>
    <w:rsid w:val="00FB7CAE"/>
    <w:rsid w:val="00FC07E5"/>
    <w:rsid w:val="00FD3A93"/>
    <w:rsid w:val="00FE6E78"/>
    <w:rsid w:val="00FF1406"/>
    <w:rsid w:val="00FF252D"/>
    <w:rsid w:val="00FF2B5A"/>
    <w:rsid w:val="02932BD7"/>
    <w:rsid w:val="05C148A9"/>
    <w:rsid w:val="0737595C"/>
    <w:rsid w:val="0CFE16D3"/>
    <w:rsid w:val="0E835A7A"/>
    <w:rsid w:val="0FF0435A"/>
    <w:rsid w:val="15917A59"/>
    <w:rsid w:val="164F5A4D"/>
    <w:rsid w:val="17175D5E"/>
    <w:rsid w:val="18323DAD"/>
    <w:rsid w:val="1D0E29BF"/>
    <w:rsid w:val="226A2C5D"/>
    <w:rsid w:val="22EC7946"/>
    <w:rsid w:val="26A818DC"/>
    <w:rsid w:val="28404EB4"/>
    <w:rsid w:val="293D605B"/>
    <w:rsid w:val="2AAC3F8D"/>
    <w:rsid w:val="2D3558DE"/>
    <w:rsid w:val="2F047065"/>
    <w:rsid w:val="3282513F"/>
    <w:rsid w:val="33140EBB"/>
    <w:rsid w:val="37BC3D1E"/>
    <w:rsid w:val="383C4805"/>
    <w:rsid w:val="3BAF539D"/>
    <w:rsid w:val="41EC5381"/>
    <w:rsid w:val="42943759"/>
    <w:rsid w:val="437160C5"/>
    <w:rsid w:val="457315E0"/>
    <w:rsid w:val="4B2C7690"/>
    <w:rsid w:val="4B6B5BF0"/>
    <w:rsid w:val="4BC17D55"/>
    <w:rsid w:val="4E3D7D29"/>
    <w:rsid w:val="5049226E"/>
    <w:rsid w:val="508320E7"/>
    <w:rsid w:val="51075536"/>
    <w:rsid w:val="52737555"/>
    <w:rsid w:val="54843A1B"/>
    <w:rsid w:val="550245B2"/>
    <w:rsid w:val="59A11CD3"/>
    <w:rsid w:val="5BE33BD7"/>
    <w:rsid w:val="5CAF318F"/>
    <w:rsid w:val="5F36780D"/>
    <w:rsid w:val="616B66AD"/>
    <w:rsid w:val="61AE14FA"/>
    <w:rsid w:val="66591830"/>
    <w:rsid w:val="67456B6D"/>
    <w:rsid w:val="6BED3AC9"/>
    <w:rsid w:val="6EE901C4"/>
    <w:rsid w:val="6F847560"/>
    <w:rsid w:val="74AF41F8"/>
    <w:rsid w:val="7A57122A"/>
    <w:rsid w:val="7F1E3214"/>
    <w:rsid w:val="7F61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subject"/>
    <w:basedOn w:val="7"/>
    <w:next w:val="7"/>
    <w:link w:val="31"/>
    <w:semiHidden/>
    <w:unhideWhenUsed/>
    <w:uiPriority w:val="99"/>
    <w:rPr>
      <w:b/>
      <w:bCs/>
    </w:rPr>
  </w:style>
  <w:style w:type="paragraph" w:styleId="7">
    <w:name w:val="annotation text"/>
    <w:basedOn w:val="1"/>
    <w:link w:val="30"/>
    <w:unhideWhenUsed/>
    <w:qFormat/>
    <w:uiPriority w:val="99"/>
    <w:pPr>
      <w:jc w:val="left"/>
    </w:pPr>
  </w:style>
  <w:style w:type="paragraph" w:styleId="8">
    <w:name w:val="Document Map"/>
    <w:basedOn w:val="1"/>
    <w:link w:val="23"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Balloon Text"/>
    <w:basedOn w:val="1"/>
    <w:link w:val="24"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annotation reference"/>
    <w:basedOn w:val="13"/>
    <w:semiHidden/>
    <w:unhideWhenUsed/>
    <w:qFormat/>
    <w:uiPriority w:val="99"/>
    <w:rPr>
      <w:sz w:val="21"/>
      <w:szCs w:val="21"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7">
    <w:name w:val="标题 1 字符"/>
    <w:basedOn w:val="13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8">
    <w:name w:val="标题 2 字符"/>
    <w:basedOn w:val="13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3 字符"/>
    <w:basedOn w:val="13"/>
    <w:link w:val="4"/>
    <w:qFormat/>
    <w:uiPriority w:val="9"/>
    <w:rPr>
      <w:b/>
      <w:bCs/>
      <w:sz w:val="32"/>
      <w:szCs w:val="32"/>
    </w:rPr>
  </w:style>
  <w:style w:type="character" w:customStyle="1" w:styleId="20">
    <w:name w:val="标题 4 字符"/>
    <w:basedOn w:val="13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1">
    <w:name w:val="页眉 字符"/>
    <w:basedOn w:val="13"/>
    <w:link w:val="11"/>
    <w:semiHidden/>
    <w:qFormat/>
    <w:uiPriority w:val="99"/>
    <w:rPr>
      <w:sz w:val="18"/>
      <w:szCs w:val="18"/>
    </w:rPr>
  </w:style>
  <w:style w:type="character" w:customStyle="1" w:styleId="22">
    <w:name w:val="页脚 字符"/>
    <w:basedOn w:val="13"/>
    <w:link w:val="10"/>
    <w:qFormat/>
    <w:uiPriority w:val="99"/>
    <w:rPr>
      <w:sz w:val="18"/>
      <w:szCs w:val="18"/>
    </w:rPr>
  </w:style>
  <w:style w:type="character" w:customStyle="1" w:styleId="23">
    <w:name w:val="文档结构图 字符"/>
    <w:basedOn w:val="13"/>
    <w:link w:val="8"/>
    <w:semiHidden/>
    <w:qFormat/>
    <w:uiPriority w:val="99"/>
    <w:rPr>
      <w:rFonts w:ascii="宋体" w:eastAsia="宋体"/>
      <w:sz w:val="18"/>
      <w:szCs w:val="18"/>
    </w:rPr>
  </w:style>
  <w:style w:type="character" w:customStyle="1" w:styleId="24">
    <w:name w:val="批注框文本 字符"/>
    <w:basedOn w:val="13"/>
    <w:link w:val="9"/>
    <w:semiHidden/>
    <w:qFormat/>
    <w:uiPriority w:val="99"/>
    <w:rPr>
      <w:kern w:val="2"/>
      <w:sz w:val="18"/>
      <w:szCs w:val="18"/>
    </w:rPr>
  </w:style>
  <w:style w:type="paragraph" w:customStyle="1" w:styleId="25">
    <w:name w:val="列出段落1"/>
    <w:basedOn w:val="1"/>
    <w:qFormat/>
    <w:uiPriority w:val="99"/>
    <w:pPr>
      <w:ind w:firstLine="420" w:firstLineChars="200"/>
    </w:pPr>
  </w:style>
  <w:style w:type="paragraph" w:customStyle="1" w:styleId="26">
    <w:name w:val="列出段落2"/>
    <w:basedOn w:val="1"/>
    <w:qFormat/>
    <w:uiPriority w:val="99"/>
    <w:pPr>
      <w:ind w:firstLine="420" w:firstLineChars="200"/>
    </w:pPr>
  </w:style>
  <w:style w:type="paragraph" w:customStyle="1" w:styleId="27">
    <w:name w:val="列出段落3"/>
    <w:basedOn w:val="1"/>
    <w:qFormat/>
    <w:uiPriority w:val="99"/>
    <w:pPr>
      <w:ind w:firstLine="420" w:firstLineChars="200"/>
    </w:pPr>
  </w:style>
  <w:style w:type="paragraph" w:styleId="28">
    <w:name w:val="List Paragraph"/>
    <w:basedOn w:val="1"/>
    <w:qFormat/>
    <w:uiPriority w:val="34"/>
    <w:pPr>
      <w:ind w:firstLine="420" w:firstLineChars="200"/>
    </w:pPr>
  </w:style>
  <w:style w:type="character" w:customStyle="1" w:styleId="29">
    <w:name w:val="apple-converted-space"/>
    <w:basedOn w:val="13"/>
    <w:qFormat/>
    <w:uiPriority w:val="0"/>
  </w:style>
  <w:style w:type="character" w:customStyle="1" w:styleId="30">
    <w:name w:val="批注文字 字符"/>
    <w:basedOn w:val="13"/>
    <w:link w:val="7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31">
    <w:name w:val="批注主题 字符"/>
    <w:basedOn w:val="30"/>
    <w:link w:val="6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789CE7-12A2-41BE-9696-53DC266E6F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ASGI</Company>
  <Pages>21</Pages>
  <Words>1881</Words>
  <Characters>10724</Characters>
  <Lines>89</Lines>
  <Paragraphs>25</Paragraphs>
  <TotalTime>74</TotalTime>
  <ScaleCrop>false</ScaleCrop>
  <LinksUpToDate>false</LinksUpToDate>
  <CharactersWithSpaces>12580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2018-08-30T08:07:00Z</dcterms:created>
  <dc:creator>Liu jiaqing</dc:creator>
  <cp:lastModifiedBy>毛锐</cp:lastModifiedBy>
  <cp:lastPrinted>2018-08-31T02:35:00Z</cp:lastPrinted>
  <dcterms:modified xsi:type="dcterms:W3CDTF">2018-09-04T07:06:40Z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