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中央企业生态环保产业发展情况调查表填报说明</w:t>
      </w:r>
    </w:p>
    <w:p>
      <w:pPr>
        <w:rPr>
          <w:rFonts w:hint="eastAsia"/>
          <w:lang w:val="en-US" w:eastAsia="zh-CN"/>
        </w:rPr>
      </w:pP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宋体" w:hAnsi="宋体"/>
          <w:b/>
          <w:sz w:val="30"/>
          <w:szCs w:val="30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一、</w:t>
      </w:r>
      <w:r>
        <w:rPr>
          <w:rFonts w:hint="eastAsia" w:ascii="宋体" w:hAnsi="宋体"/>
          <w:b/>
          <w:sz w:val="30"/>
          <w:szCs w:val="30"/>
          <w:lang w:eastAsia="zh-CN"/>
        </w:rPr>
        <w:t>调查目的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为认真贯彻好国家关于污染防治攻坚战、长江大保护等方面的重大战略部署，进一步摸清中央企业在</w:t>
      </w:r>
      <w:r>
        <w:rPr>
          <w:rFonts w:hint="eastAsia" w:ascii="仿宋" w:hAnsi="仿宋" w:eastAsia="仿宋"/>
          <w:sz w:val="30"/>
          <w:szCs w:val="30"/>
        </w:rPr>
        <w:t>环保</w:t>
      </w:r>
      <w:r>
        <w:rPr>
          <w:rFonts w:hint="eastAsia" w:ascii="仿宋" w:hAnsi="仿宋" w:eastAsia="仿宋"/>
          <w:sz w:val="30"/>
          <w:szCs w:val="30"/>
          <w:lang w:eastAsia="zh-CN"/>
        </w:rPr>
        <w:t>业务方面的工作开展情况，开展本次调查工作。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 xml:space="preserve">    二、</w:t>
      </w:r>
      <w:r>
        <w:rPr>
          <w:rFonts w:hint="eastAsia" w:ascii="宋体" w:hAnsi="宋体"/>
          <w:b/>
          <w:sz w:val="30"/>
          <w:szCs w:val="30"/>
          <w:lang w:eastAsia="zh-CN"/>
        </w:rPr>
        <w:t>环保产业分类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表中填报方式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原则上以中央企业所属的具体环保业务实施企业为单位进行填报。该实施企业是独立实施环保业务的法人实体。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环保产业原则上按照以下类别进行分类：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(一)环保技术和设备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包括水污染治理（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含</w:t>
      </w:r>
      <w:r>
        <w:rPr>
          <w:rFonts w:hint="eastAsia" w:ascii="仿宋" w:hAnsi="仿宋" w:eastAsia="仿宋"/>
          <w:sz w:val="30"/>
          <w:szCs w:val="30"/>
          <w:lang w:eastAsia="zh-CN"/>
        </w:rPr>
        <w:t>生活污水、工业污水、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农业面源污染、</w:t>
      </w:r>
      <w:r>
        <w:rPr>
          <w:rFonts w:hint="eastAsia" w:ascii="仿宋" w:hAnsi="仿宋" w:eastAsia="仿宋"/>
          <w:sz w:val="30"/>
          <w:szCs w:val="30"/>
          <w:lang w:eastAsia="zh-CN"/>
        </w:rPr>
        <w:t>黑臭水体治理、流域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综合</w:t>
      </w:r>
      <w:r>
        <w:rPr>
          <w:rFonts w:hint="eastAsia" w:ascii="仿宋" w:hAnsi="仿宋" w:eastAsia="仿宋"/>
          <w:sz w:val="30"/>
          <w:szCs w:val="30"/>
          <w:lang w:eastAsia="zh-CN"/>
        </w:rPr>
        <w:t>治理等）</w:t>
      </w:r>
      <w:r>
        <w:rPr>
          <w:rFonts w:hint="eastAsia" w:ascii="仿宋" w:hAnsi="仿宋" w:eastAsia="仿宋"/>
          <w:sz w:val="30"/>
          <w:szCs w:val="30"/>
        </w:rPr>
        <w:t>、大气污染治理(含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除尘、</w:t>
      </w:r>
      <w:r>
        <w:rPr>
          <w:rFonts w:hint="eastAsia" w:ascii="仿宋" w:hAnsi="仿宋" w:eastAsia="仿宋"/>
          <w:sz w:val="30"/>
          <w:szCs w:val="30"/>
        </w:rPr>
        <w:t>脱硫、脱硝、碳捕捉等)、固体废弃物(生活</w:t>
      </w:r>
      <w:r>
        <w:rPr>
          <w:rFonts w:hint="eastAsia" w:ascii="仿宋" w:hAnsi="仿宋" w:eastAsia="仿宋"/>
          <w:sz w:val="30"/>
          <w:szCs w:val="30"/>
          <w:lang w:eastAsia="zh-CN"/>
        </w:rPr>
        <w:t>垃圾</w:t>
      </w:r>
      <w:r>
        <w:rPr>
          <w:rFonts w:hint="eastAsia" w:ascii="仿宋" w:hAnsi="仿宋" w:eastAsia="仿宋"/>
          <w:sz w:val="30"/>
          <w:szCs w:val="30"/>
        </w:rPr>
        <w:t>、工业</w:t>
      </w:r>
      <w:r>
        <w:rPr>
          <w:rFonts w:hint="eastAsia" w:ascii="仿宋" w:hAnsi="仿宋" w:eastAsia="仿宋"/>
          <w:sz w:val="30"/>
          <w:szCs w:val="30"/>
          <w:lang w:eastAsia="zh-CN"/>
        </w:rPr>
        <w:t>废弃物</w:t>
      </w:r>
      <w:r>
        <w:rPr>
          <w:rFonts w:hint="eastAsia" w:ascii="仿宋" w:hAnsi="仿宋" w:eastAsia="仿宋"/>
          <w:sz w:val="30"/>
          <w:szCs w:val="30"/>
        </w:rPr>
        <w:t>、危险废弃物</w:t>
      </w:r>
      <w:r>
        <w:rPr>
          <w:rFonts w:hint="eastAsia" w:ascii="仿宋" w:hAnsi="仿宋" w:eastAsia="仿宋"/>
          <w:sz w:val="30"/>
          <w:szCs w:val="30"/>
          <w:lang w:eastAsia="zh-CN"/>
        </w:rPr>
        <w:t>、医疗废弃物</w:t>
      </w:r>
      <w:r>
        <w:rPr>
          <w:rFonts w:hint="eastAsia" w:ascii="仿宋" w:hAnsi="仿宋" w:eastAsia="仿宋"/>
          <w:sz w:val="30"/>
          <w:szCs w:val="30"/>
        </w:rPr>
        <w:t>等)、噪声与振动控制、土壤治理与修复、生态修复，以及检测</w:t>
      </w:r>
      <w:r>
        <w:rPr>
          <w:rFonts w:hint="eastAsia" w:ascii="仿宋" w:hAnsi="仿宋" w:eastAsia="仿宋"/>
          <w:sz w:val="30"/>
          <w:szCs w:val="30"/>
          <w:lang w:eastAsia="zh-CN"/>
        </w:rPr>
        <w:t>、监测</w:t>
      </w:r>
      <w:r>
        <w:rPr>
          <w:rFonts w:hint="eastAsia" w:ascii="仿宋" w:hAnsi="仿宋" w:eastAsia="仿宋"/>
          <w:sz w:val="30"/>
          <w:szCs w:val="30"/>
        </w:rPr>
        <w:t>等</w:t>
      </w:r>
      <w:r>
        <w:rPr>
          <w:rFonts w:hint="eastAsia" w:ascii="仿宋" w:hAnsi="仿宋" w:eastAsia="仿宋"/>
          <w:sz w:val="30"/>
          <w:szCs w:val="30"/>
          <w:lang w:eastAsia="zh-CN"/>
        </w:rPr>
        <w:t>技术和设备</w:t>
      </w:r>
      <w:r>
        <w:rPr>
          <w:rFonts w:hint="eastAsia" w:ascii="仿宋" w:hAnsi="仿宋" w:eastAsia="仿宋"/>
          <w:sz w:val="30"/>
          <w:szCs w:val="30"/>
        </w:rPr>
        <w:t>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(二)环保产品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</w:t>
      </w:r>
      <w:r>
        <w:rPr>
          <w:rFonts w:hint="eastAsia" w:ascii="仿宋" w:hAnsi="仿宋" w:eastAsia="仿宋"/>
          <w:sz w:val="30"/>
          <w:szCs w:val="30"/>
          <w:lang w:eastAsia="zh-CN"/>
        </w:rPr>
        <w:t>包括</w:t>
      </w:r>
      <w:r>
        <w:rPr>
          <w:rFonts w:hint="eastAsia" w:ascii="仿宋" w:hAnsi="仿宋" w:eastAsia="仿宋"/>
          <w:sz w:val="30"/>
          <w:szCs w:val="30"/>
        </w:rPr>
        <w:t>环保材料、环保药剂等方面。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(三)环保服务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针对</w:t>
      </w:r>
      <w:r>
        <w:rPr>
          <w:rFonts w:hint="eastAsia" w:ascii="仿宋" w:hAnsi="仿宋" w:eastAsia="仿宋"/>
          <w:sz w:val="30"/>
          <w:szCs w:val="30"/>
        </w:rPr>
        <w:t>水污染治理</w:t>
      </w:r>
      <w:r>
        <w:rPr>
          <w:rFonts w:hint="eastAsia" w:ascii="仿宋" w:hAnsi="仿宋" w:eastAsia="仿宋"/>
          <w:sz w:val="30"/>
          <w:szCs w:val="30"/>
          <w:lang w:eastAsia="zh-CN"/>
        </w:rPr>
        <w:t>（生活污水、工业污水、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农业面源污</w:t>
      </w:r>
      <w:r>
        <w:rPr>
          <w:rFonts w:hint="eastAsia" w:ascii="仿宋" w:hAnsi="仿宋" w:eastAsia="仿宋"/>
          <w:sz w:val="30"/>
          <w:szCs w:val="30"/>
          <w:lang w:eastAsia="zh-CN"/>
        </w:rPr>
        <w:t>、黑臭水体治理、流域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综合</w:t>
      </w:r>
      <w:r>
        <w:rPr>
          <w:rFonts w:hint="eastAsia" w:ascii="仿宋" w:hAnsi="仿宋" w:eastAsia="仿宋"/>
          <w:sz w:val="30"/>
          <w:szCs w:val="30"/>
          <w:lang w:eastAsia="zh-CN"/>
        </w:rPr>
        <w:t>治理等）</w:t>
      </w:r>
      <w:r>
        <w:rPr>
          <w:rFonts w:hint="eastAsia" w:ascii="仿宋" w:hAnsi="仿宋" w:eastAsia="仿宋"/>
          <w:sz w:val="30"/>
          <w:szCs w:val="30"/>
        </w:rPr>
        <w:t>、大气污染治理(含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除尘、</w:t>
      </w:r>
      <w:r>
        <w:rPr>
          <w:rFonts w:hint="eastAsia" w:ascii="仿宋" w:hAnsi="仿宋" w:eastAsia="仿宋"/>
          <w:sz w:val="30"/>
          <w:szCs w:val="30"/>
        </w:rPr>
        <w:t>脱硫、脱硝、碳捕捉等)、固体废弃物(生活</w:t>
      </w:r>
      <w:r>
        <w:rPr>
          <w:rFonts w:hint="eastAsia" w:ascii="仿宋" w:hAnsi="仿宋" w:eastAsia="仿宋"/>
          <w:sz w:val="30"/>
          <w:szCs w:val="30"/>
          <w:lang w:eastAsia="zh-CN"/>
        </w:rPr>
        <w:t>垃圾</w:t>
      </w:r>
      <w:r>
        <w:rPr>
          <w:rFonts w:hint="eastAsia" w:ascii="仿宋" w:hAnsi="仿宋" w:eastAsia="仿宋"/>
          <w:sz w:val="30"/>
          <w:szCs w:val="30"/>
        </w:rPr>
        <w:t>、工业</w:t>
      </w:r>
      <w:r>
        <w:rPr>
          <w:rFonts w:hint="eastAsia" w:ascii="仿宋" w:hAnsi="仿宋" w:eastAsia="仿宋"/>
          <w:sz w:val="30"/>
          <w:szCs w:val="30"/>
          <w:lang w:eastAsia="zh-CN"/>
        </w:rPr>
        <w:t>废弃物</w:t>
      </w:r>
      <w:r>
        <w:rPr>
          <w:rFonts w:hint="eastAsia" w:ascii="仿宋" w:hAnsi="仿宋" w:eastAsia="仿宋"/>
          <w:sz w:val="30"/>
          <w:szCs w:val="30"/>
        </w:rPr>
        <w:t>、危险废弃物</w:t>
      </w:r>
      <w:r>
        <w:rPr>
          <w:rFonts w:hint="eastAsia" w:ascii="仿宋" w:hAnsi="仿宋" w:eastAsia="仿宋"/>
          <w:sz w:val="30"/>
          <w:szCs w:val="30"/>
          <w:lang w:eastAsia="zh-CN"/>
        </w:rPr>
        <w:t>、医疗废弃物</w:t>
      </w:r>
      <w:r>
        <w:rPr>
          <w:rFonts w:hint="eastAsia" w:ascii="仿宋" w:hAnsi="仿宋" w:eastAsia="仿宋"/>
          <w:sz w:val="30"/>
          <w:szCs w:val="30"/>
        </w:rPr>
        <w:t>等)、噪声与振动控制、土壤治理与修复、生态修复，以及检测</w:t>
      </w:r>
      <w:r>
        <w:rPr>
          <w:rFonts w:hint="eastAsia" w:ascii="仿宋" w:hAnsi="仿宋" w:eastAsia="仿宋"/>
          <w:sz w:val="30"/>
          <w:szCs w:val="30"/>
          <w:lang w:eastAsia="zh-CN"/>
        </w:rPr>
        <w:t>、监测</w:t>
      </w:r>
      <w:r>
        <w:rPr>
          <w:rFonts w:hint="eastAsia" w:ascii="仿宋" w:hAnsi="仿宋" w:eastAsia="仿宋"/>
          <w:sz w:val="30"/>
          <w:szCs w:val="30"/>
        </w:rPr>
        <w:t>等</w:t>
      </w:r>
      <w:r>
        <w:rPr>
          <w:rFonts w:hint="eastAsia" w:ascii="仿宋" w:hAnsi="仿宋" w:eastAsia="仿宋"/>
          <w:sz w:val="30"/>
          <w:szCs w:val="30"/>
          <w:lang w:eastAsia="zh-CN"/>
        </w:rPr>
        <w:t>领域，对</w:t>
      </w:r>
      <w:r>
        <w:rPr>
          <w:rFonts w:hint="eastAsia" w:ascii="仿宋" w:hAnsi="仿宋" w:eastAsia="仿宋"/>
          <w:sz w:val="30"/>
          <w:szCs w:val="30"/>
        </w:rPr>
        <w:t>设计</w:t>
      </w:r>
      <w:r>
        <w:rPr>
          <w:rFonts w:hint="eastAsia" w:ascii="仿宋" w:hAnsi="仿宋" w:eastAsia="仿宋"/>
          <w:sz w:val="30"/>
          <w:szCs w:val="30"/>
          <w:lang w:eastAsia="zh-CN"/>
        </w:rPr>
        <w:t>、咨询、</w:t>
      </w:r>
      <w:r>
        <w:rPr>
          <w:rFonts w:hint="eastAsia" w:ascii="仿宋" w:hAnsi="仿宋" w:eastAsia="仿宋"/>
          <w:sz w:val="30"/>
          <w:szCs w:val="30"/>
        </w:rPr>
        <w:t>检测</w:t>
      </w:r>
      <w:r>
        <w:rPr>
          <w:rFonts w:hint="eastAsia" w:ascii="仿宋" w:hAnsi="仿宋" w:eastAsia="仿宋"/>
          <w:sz w:val="30"/>
          <w:szCs w:val="30"/>
          <w:lang w:eastAsia="zh-CN"/>
        </w:rPr>
        <w:t>、监测、工程</w:t>
      </w:r>
      <w:r>
        <w:rPr>
          <w:rFonts w:hint="eastAsia" w:ascii="仿宋" w:hAnsi="仿宋" w:eastAsia="仿宋"/>
          <w:sz w:val="30"/>
          <w:szCs w:val="30"/>
        </w:rPr>
        <w:t>建设、运营和维护等</w:t>
      </w:r>
      <w:r>
        <w:rPr>
          <w:rFonts w:hint="eastAsia" w:ascii="仿宋" w:hAnsi="仿宋" w:eastAsia="仿宋"/>
          <w:sz w:val="30"/>
          <w:szCs w:val="30"/>
          <w:lang w:eastAsia="zh-CN"/>
        </w:rPr>
        <w:t>服务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方面的能力等</w:t>
      </w:r>
      <w:r>
        <w:rPr>
          <w:rFonts w:hint="eastAsia" w:ascii="仿宋" w:hAnsi="仿宋" w:eastAsia="仿宋"/>
          <w:sz w:val="30"/>
          <w:szCs w:val="30"/>
          <w:lang w:eastAsia="zh-CN"/>
        </w:rPr>
        <w:t>内容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进行说明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企业结合自身环保业务开展情况分类细化填写，表内填写内容应表达完整、语言精炼。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   三、其他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 适用范围填写该项业务主要适用哪些领域。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 主要应用区域指该项业务目前主要在哪些区域有应用业绩。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 业务类别参见下表填写。对于环保产品类参照下表填写。</w:t>
      </w:r>
    </w:p>
    <w:tbl>
      <w:tblPr>
        <w:tblStyle w:val="6"/>
        <w:tblW w:w="680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2424"/>
        <w:gridCol w:w="4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大气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污染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治理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除尘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脱硫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脱硝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、碳捕捉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VOC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雾霾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汽车尾气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污染治理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饮用水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污水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工业废水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水环境综合整治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固废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治理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生活垃圾处理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餐厨废弃物处理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危险废物处置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大宗工业固废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农林废弃物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污泥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土壤修复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沙漠荒地治理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噪声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与振动控制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环保服务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环境监测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环境影响评价、评估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环保设计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运营维护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技术咨询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人才培训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其它</w:t>
            </w:r>
          </w:p>
        </w:tc>
      </w:tr>
    </w:tbl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商业模式指企业环保业务开展过程中通常采用的主要模式，可单独附页进行详细说明。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 生产规模中的能力、产能：针对环保技术和设备、环保产品、环保服务内容的不同特性分别填写能力指向和单位。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 利润栏中按照利润总额（万元）/净利润（万元）的方式填写，以减少表格列数。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各中央企业在收到本次调查通知后，尽早与国资委规划局联系，以便于做好调查沟通。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联系人：王承才  联系电话： 010-63193202/13511081096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/>
    <w:sectPr>
      <w:footerReference r:id="rId3" w:type="default"/>
      <w:pgSz w:w="11906" w:h="16838"/>
      <w:pgMar w:top="1701" w:right="1587" w:bottom="1587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D0345C"/>
    <w:multiLevelType w:val="singleLevel"/>
    <w:tmpl w:val="B4D0345C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86616"/>
    <w:rsid w:val="18BA0F66"/>
    <w:rsid w:val="200724B0"/>
    <w:rsid w:val="22913F44"/>
    <w:rsid w:val="2D364449"/>
    <w:rsid w:val="3E557D3A"/>
    <w:rsid w:val="40213526"/>
    <w:rsid w:val="41967754"/>
    <w:rsid w:val="442B2017"/>
    <w:rsid w:val="47335A0C"/>
    <w:rsid w:val="48DC7D8A"/>
    <w:rsid w:val="4A816998"/>
    <w:rsid w:val="571E1ECF"/>
    <w:rsid w:val="5B7260D4"/>
    <w:rsid w:val="5F272550"/>
    <w:rsid w:val="67BB291A"/>
    <w:rsid w:val="69CF110B"/>
    <w:rsid w:val="72631ADC"/>
    <w:rsid w:val="775163C3"/>
    <w:rsid w:val="7B1E71A0"/>
    <w:rsid w:val="7CC56DBC"/>
    <w:rsid w:val="7E4A2FD7"/>
    <w:rsid w:val="7F3F3BFD"/>
    <w:rsid w:val="7FD44A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cp:lastPrinted>2018-05-08T05:44:18Z</cp:lastPrinted>
  <dcterms:modified xsi:type="dcterms:W3CDTF">2018-05-08T08:26:42Z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